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FCD" w:rsidRPr="00136427" w:rsidRDefault="00D56EE3" w:rsidP="001C1AA1">
      <w:pPr>
        <w:jc w:val="center"/>
        <w:rPr>
          <w:b/>
          <w:sz w:val="28"/>
          <w:szCs w:val="28"/>
        </w:rPr>
      </w:pPr>
      <w:r w:rsidRPr="00136427">
        <w:rPr>
          <w:b/>
          <w:sz w:val="28"/>
          <w:szCs w:val="28"/>
        </w:rPr>
        <w:t>ICH HARMONISED GUIDELINE</w:t>
      </w:r>
    </w:p>
    <w:p w:rsidR="00136427" w:rsidRDefault="00136427" w:rsidP="001C1AA1">
      <w:pPr>
        <w:jc w:val="center"/>
        <w:rPr>
          <w:b/>
          <w:bCs/>
          <w:sz w:val="28"/>
          <w:szCs w:val="32"/>
        </w:rPr>
      </w:pPr>
      <w:r w:rsidRPr="00136427">
        <w:rPr>
          <w:sz w:val="22"/>
        </w:rPr>
        <w:t xml:space="preserve"> </w:t>
      </w:r>
      <w:r w:rsidRPr="00136427">
        <w:rPr>
          <w:b/>
          <w:bCs/>
          <w:sz w:val="28"/>
          <w:szCs w:val="32"/>
        </w:rPr>
        <w:t xml:space="preserve">ICH </w:t>
      </w:r>
      <w:r w:rsidR="005D6928">
        <w:rPr>
          <w:rFonts w:hint="eastAsia"/>
          <w:b/>
          <w:bCs/>
          <w:sz w:val="28"/>
          <w:szCs w:val="32"/>
        </w:rPr>
        <w:t>S1</w:t>
      </w:r>
      <w:r w:rsidR="00375F75">
        <w:rPr>
          <w:rFonts w:hint="eastAsia"/>
          <w:b/>
          <w:bCs/>
          <w:sz w:val="28"/>
          <w:szCs w:val="32"/>
        </w:rPr>
        <w:t>2</w:t>
      </w:r>
      <w:r w:rsidRPr="00136427">
        <w:rPr>
          <w:b/>
          <w:bCs/>
          <w:sz w:val="28"/>
          <w:szCs w:val="32"/>
        </w:rPr>
        <w:t xml:space="preserve">: </w:t>
      </w:r>
      <w:r w:rsidR="00015E6A" w:rsidRPr="00015E6A">
        <w:rPr>
          <w:b/>
          <w:bCs/>
          <w:sz w:val="28"/>
          <w:szCs w:val="32"/>
        </w:rPr>
        <w:t>Nonclinical Biodistribution Considerations for Gene Therapy Products</w:t>
      </w:r>
    </w:p>
    <w:p w:rsidR="00D56EE3" w:rsidRPr="001C1AA1" w:rsidRDefault="0014402C" w:rsidP="001C1AA1">
      <w:pPr>
        <w:jc w:val="center"/>
        <w:rPr>
          <w:b/>
          <w:sz w:val="28"/>
          <w:szCs w:val="28"/>
        </w:rPr>
      </w:pPr>
      <w:r w:rsidRPr="001C1AA1">
        <w:rPr>
          <w:rFonts w:hint="eastAsia"/>
          <w:b/>
          <w:sz w:val="28"/>
          <w:szCs w:val="28"/>
        </w:rPr>
        <w:t xml:space="preserve"> </w:t>
      </w:r>
      <w:r w:rsidR="00D56EE3" w:rsidRPr="001C1AA1">
        <w:rPr>
          <w:rFonts w:hint="eastAsia"/>
          <w:b/>
          <w:sz w:val="28"/>
          <w:szCs w:val="28"/>
        </w:rPr>
        <w:t>(</w:t>
      </w:r>
      <w:r w:rsidR="00D56EE3" w:rsidRPr="001C1AA1">
        <w:rPr>
          <w:b/>
          <w:sz w:val="28"/>
          <w:szCs w:val="28"/>
        </w:rPr>
        <w:t>Draft version</w:t>
      </w:r>
      <w:r w:rsidR="00D56EE3" w:rsidRPr="001C1AA1">
        <w:rPr>
          <w:rFonts w:hint="eastAsia"/>
          <w:b/>
          <w:sz w:val="28"/>
          <w:szCs w:val="28"/>
        </w:rPr>
        <w:t xml:space="preserve">, </w:t>
      </w:r>
      <w:r w:rsidR="00D56EE3" w:rsidRPr="001C1AA1">
        <w:rPr>
          <w:b/>
          <w:sz w:val="28"/>
          <w:szCs w:val="28"/>
        </w:rPr>
        <w:t>Endorsed on</w:t>
      </w:r>
      <w:r w:rsidR="009043D8">
        <w:rPr>
          <w:b/>
          <w:sz w:val="28"/>
          <w:szCs w:val="28"/>
        </w:rPr>
        <w:t xml:space="preserve"> </w:t>
      </w:r>
      <w:r w:rsidR="00015E6A">
        <w:rPr>
          <w:rFonts w:hint="eastAsia"/>
          <w:b/>
          <w:sz w:val="28"/>
          <w:szCs w:val="28"/>
        </w:rPr>
        <w:t>Ju</w:t>
      </w:r>
      <w:r w:rsidR="00015E6A">
        <w:rPr>
          <w:b/>
          <w:sz w:val="28"/>
          <w:szCs w:val="28"/>
        </w:rPr>
        <w:t>n</w:t>
      </w:r>
      <w:r w:rsidR="009043D8">
        <w:rPr>
          <w:b/>
          <w:color w:val="000000" w:themeColor="text1"/>
          <w:sz w:val="28"/>
          <w:szCs w:val="28"/>
        </w:rPr>
        <w:t xml:space="preserve"> </w:t>
      </w:r>
      <w:r w:rsidR="00015E6A">
        <w:rPr>
          <w:b/>
          <w:color w:val="000000" w:themeColor="text1"/>
          <w:sz w:val="28"/>
          <w:szCs w:val="28"/>
        </w:rPr>
        <w:t>3</w:t>
      </w:r>
      <w:r w:rsidR="009043D8">
        <w:rPr>
          <w:b/>
          <w:color w:val="000000" w:themeColor="text1"/>
          <w:sz w:val="28"/>
          <w:szCs w:val="28"/>
        </w:rPr>
        <w:t>,</w:t>
      </w:r>
      <w:r w:rsidR="00813961">
        <w:rPr>
          <w:b/>
          <w:color w:val="000000" w:themeColor="text1"/>
          <w:sz w:val="28"/>
          <w:szCs w:val="28"/>
        </w:rPr>
        <w:t xml:space="preserve"> </w:t>
      </w:r>
      <w:r w:rsidR="00AA3C16" w:rsidRPr="00005370">
        <w:rPr>
          <w:b/>
          <w:color w:val="000000" w:themeColor="text1"/>
          <w:sz w:val="28"/>
          <w:szCs w:val="28"/>
        </w:rPr>
        <w:t>202</w:t>
      </w:r>
      <w:r w:rsidR="00015E6A">
        <w:rPr>
          <w:rFonts w:hint="eastAsia"/>
          <w:b/>
          <w:color w:val="000000" w:themeColor="text1"/>
          <w:sz w:val="28"/>
          <w:szCs w:val="28"/>
        </w:rPr>
        <w:t>1</w:t>
      </w:r>
      <w:r w:rsidR="00D56EE3" w:rsidRPr="00005370">
        <w:rPr>
          <w:rFonts w:hint="eastAsia"/>
          <w:b/>
          <w:color w:val="000000" w:themeColor="text1"/>
          <w:sz w:val="28"/>
          <w:szCs w:val="28"/>
        </w:rPr>
        <w:t>)</w:t>
      </w:r>
      <w:r w:rsidR="00D56EE3" w:rsidRPr="00005370">
        <w:rPr>
          <w:b/>
          <w:color w:val="000000" w:themeColor="text1"/>
          <w:sz w:val="28"/>
          <w:szCs w:val="28"/>
        </w:rPr>
        <w:cr/>
      </w:r>
      <w:r w:rsidR="00D56EE3" w:rsidRPr="00630241">
        <w:rPr>
          <w:rFonts w:ascii="微軟正黑體" w:eastAsia="微軟正黑體" w:hAnsi="微軟正黑體" w:hint="eastAsia"/>
          <w:b/>
          <w:sz w:val="28"/>
          <w:szCs w:val="28"/>
        </w:rPr>
        <w:t>指引意見彙整表</w:t>
      </w:r>
    </w:p>
    <w:tbl>
      <w:tblPr>
        <w:tblStyle w:val="a3"/>
        <w:tblW w:w="5000" w:type="pct"/>
        <w:tblLayout w:type="fixed"/>
        <w:tblLook w:val="04A0" w:firstRow="1" w:lastRow="0" w:firstColumn="1" w:lastColumn="0" w:noHBand="0" w:noVBand="1"/>
      </w:tblPr>
      <w:tblGrid>
        <w:gridCol w:w="806"/>
        <w:gridCol w:w="3352"/>
        <w:gridCol w:w="8245"/>
        <w:gridCol w:w="2985"/>
      </w:tblGrid>
      <w:tr w:rsidR="00D56EE3" w:rsidRPr="00B55920" w:rsidTr="00525292">
        <w:trPr>
          <w:trHeight w:val="244"/>
        </w:trPr>
        <w:tc>
          <w:tcPr>
            <w:tcW w:w="262" w:type="pct"/>
            <w:vAlign w:val="center"/>
          </w:tcPr>
          <w:p w:rsidR="00D56EE3" w:rsidRPr="00B55920" w:rsidRDefault="00D56EE3" w:rsidP="00525292">
            <w:pPr>
              <w:snapToGrid w:val="0"/>
              <w:spacing w:beforeLines="50" w:before="180" w:afterLines="50" w:after="180" w:line="0" w:lineRule="atLeast"/>
              <w:contextualSpacing/>
              <w:jc w:val="center"/>
              <w:rPr>
                <w:rFonts w:ascii="微軟正黑體" w:eastAsia="微軟正黑體" w:hAnsi="微軟正黑體" w:cstheme="minorHAnsi"/>
                <w:szCs w:val="24"/>
              </w:rPr>
            </w:pPr>
            <w:r w:rsidRPr="00B55920">
              <w:rPr>
                <w:rFonts w:ascii="微軟正黑體" w:eastAsia="微軟正黑體" w:hAnsi="微軟正黑體" w:cstheme="minorHAnsi"/>
                <w:szCs w:val="24"/>
              </w:rPr>
              <w:t>段落</w:t>
            </w:r>
          </w:p>
        </w:tc>
        <w:tc>
          <w:tcPr>
            <w:tcW w:w="1089" w:type="pct"/>
            <w:vAlign w:val="center"/>
          </w:tcPr>
          <w:p w:rsidR="00D56EE3" w:rsidRPr="00B55920" w:rsidRDefault="0084462F" w:rsidP="00525292">
            <w:pPr>
              <w:snapToGrid w:val="0"/>
              <w:spacing w:beforeLines="50" w:before="180" w:afterLines="50" w:after="180" w:line="0" w:lineRule="atLeast"/>
              <w:contextualSpacing/>
              <w:jc w:val="center"/>
              <w:rPr>
                <w:rFonts w:ascii="微軟正黑體" w:eastAsia="微軟正黑體" w:hAnsi="微軟正黑體" w:cstheme="minorHAnsi"/>
                <w:szCs w:val="24"/>
              </w:rPr>
            </w:pPr>
            <w:r>
              <w:rPr>
                <w:rFonts w:ascii="微軟正黑體" w:eastAsia="微軟正黑體" w:hAnsi="微軟正黑體" w:cstheme="minorHAnsi" w:hint="eastAsia"/>
                <w:szCs w:val="24"/>
              </w:rPr>
              <w:t>標題</w:t>
            </w:r>
          </w:p>
        </w:tc>
        <w:tc>
          <w:tcPr>
            <w:tcW w:w="2679" w:type="pct"/>
            <w:vAlign w:val="center"/>
          </w:tcPr>
          <w:p w:rsidR="00D56EE3" w:rsidRPr="006B7164" w:rsidRDefault="00C97154" w:rsidP="00525292">
            <w:pPr>
              <w:snapToGrid w:val="0"/>
              <w:spacing w:beforeLines="50" w:before="180" w:afterLines="50" w:after="180" w:line="0" w:lineRule="atLeast"/>
              <w:contextualSpacing/>
              <w:jc w:val="center"/>
              <w:rPr>
                <w:rFonts w:eastAsia="標楷體" w:cstheme="minorHAnsi"/>
                <w:b/>
                <w:szCs w:val="24"/>
              </w:rPr>
            </w:pPr>
            <w:r>
              <w:rPr>
                <w:rFonts w:ascii="微軟正黑體" w:eastAsia="微軟正黑體" w:hAnsi="微軟正黑體" w:cstheme="minorHAnsi" w:hint="eastAsia"/>
                <w:szCs w:val="24"/>
              </w:rPr>
              <w:t>內文</w:t>
            </w:r>
            <w:r w:rsidR="00F56E53" w:rsidRPr="00B55920">
              <w:rPr>
                <w:rFonts w:ascii="微軟正黑體" w:eastAsia="微軟正黑體" w:hAnsi="微軟正黑體" w:cstheme="minorHAnsi"/>
                <w:szCs w:val="24"/>
              </w:rPr>
              <w:t xml:space="preserve"> </w:t>
            </w:r>
            <w:r w:rsidR="001C1AA1" w:rsidRPr="00B55920">
              <w:rPr>
                <w:rFonts w:ascii="微軟正黑體" w:eastAsia="微軟正黑體" w:hAnsi="微軟正黑體" w:cstheme="minorHAnsi"/>
                <w:szCs w:val="24"/>
              </w:rPr>
              <w:t>(摘</w:t>
            </w:r>
            <w:r w:rsidR="001C1AA1" w:rsidRPr="002474E2">
              <w:rPr>
                <w:rFonts w:ascii="微軟正黑體" w:eastAsia="微軟正黑體" w:hAnsi="微軟正黑體" w:cstheme="minorHAnsi"/>
                <w:szCs w:val="24"/>
              </w:rPr>
              <w:t>自</w:t>
            </w:r>
            <w:r w:rsidR="009043D8">
              <w:rPr>
                <w:bCs/>
                <w:sz w:val="28"/>
                <w:szCs w:val="32"/>
              </w:rPr>
              <w:t>S</w:t>
            </w:r>
            <w:r w:rsidR="00015E6A">
              <w:rPr>
                <w:bCs/>
                <w:sz w:val="28"/>
                <w:szCs w:val="32"/>
              </w:rPr>
              <w:t>12</w:t>
            </w:r>
            <w:r w:rsidR="002474E2" w:rsidRPr="002474E2">
              <w:rPr>
                <w:bCs/>
                <w:sz w:val="28"/>
                <w:szCs w:val="32"/>
              </w:rPr>
              <w:t xml:space="preserve"> </w:t>
            </w:r>
            <w:r w:rsidR="001C1AA1" w:rsidRPr="002474E2">
              <w:rPr>
                <w:rFonts w:ascii="微軟正黑體" w:eastAsia="微軟正黑體" w:hAnsi="微軟正黑體" w:cstheme="minorHAnsi"/>
                <w:szCs w:val="24"/>
              </w:rPr>
              <w:t>dr</w:t>
            </w:r>
            <w:r w:rsidR="001C1AA1" w:rsidRPr="00B55920">
              <w:rPr>
                <w:rFonts w:ascii="微軟正黑體" w:eastAsia="微軟正黑體" w:hAnsi="微軟正黑體" w:cstheme="minorHAnsi"/>
                <w:szCs w:val="24"/>
              </w:rPr>
              <w:t xml:space="preserve">aft </w:t>
            </w:r>
            <w:r w:rsidR="002474E2">
              <w:rPr>
                <w:rFonts w:ascii="微軟正黑體" w:eastAsia="微軟正黑體" w:hAnsi="微軟正黑體" w:cstheme="minorHAnsi"/>
                <w:szCs w:val="24"/>
              </w:rPr>
              <w:t>g</w:t>
            </w:r>
            <w:r w:rsidR="002474E2" w:rsidRPr="002474E2">
              <w:rPr>
                <w:rFonts w:ascii="微軟正黑體" w:eastAsia="微軟正黑體" w:hAnsi="微軟正黑體" w:cstheme="minorHAnsi"/>
                <w:szCs w:val="24"/>
              </w:rPr>
              <w:t>uideline</w:t>
            </w:r>
            <w:r w:rsidR="001C1AA1" w:rsidRPr="00B55920">
              <w:rPr>
                <w:rFonts w:ascii="微軟正黑體" w:eastAsia="微軟正黑體" w:hAnsi="微軟正黑體" w:cstheme="minorHAnsi"/>
                <w:szCs w:val="24"/>
              </w:rPr>
              <w:t>，仍以ICH文件為</w:t>
            </w:r>
            <w:proofErr w:type="gramStart"/>
            <w:r w:rsidR="001C1AA1" w:rsidRPr="00B55920">
              <w:rPr>
                <w:rFonts w:ascii="微軟正黑體" w:eastAsia="微軟正黑體" w:hAnsi="微軟正黑體" w:cstheme="minorHAnsi"/>
                <w:szCs w:val="24"/>
              </w:rPr>
              <w:t>準</w:t>
            </w:r>
            <w:proofErr w:type="gramEnd"/>
            <w:r w:rsidR="001C1AA1" w:rsidRPr="00B55920">
              <w:rPr>
                <w:rFonts w:ascii="微軟正黑體" w:eastAsia="微軟正黑體" w:hAnsi="微軟正黑體" w:cstheme="minorHAnsi"/>
                <w:szCs w:val="24"/>
              </w:rPr>
              <w:t>)</w:t>
            </w:r>
          </w:p>
        </w:tc>
        <w:tc>
          <w:tcPr>
            <w:tcW w:w="970" w:type="pct"/>
            <w:vAlign w:val="center"/>
          </w:tcPr>
          <w:p w:rsidR="00D56EE3" w:rsidRPr="00B55920" w:rsidRDefault="00D56EE3" w:rsidP="00525292">
            <w:pPr>
              <w:snapToGrid w:val="0"/>
              <w:spacing w:beforeLines="50" w:before="180" w:afterLines="50" w:after="180" w:line="0" w:lineRule="atLeast"/>
              <w:contextualSpacing/>
              <w:jc w:val="center"/>
              <w:rPr>
                <w:rFonts w:ascii="微軟正黑體" w:eastAsia="微軟正黑體" w:hAnsi="微軟正黑體" w:cstheme="minorHAnsi"/>
                <w:szCs w:val="24"/>
              </w:rPr>
            </w:pPr>
            <w:r w:rsidRPr="00B55920">
              <w:rPr>
                <w:rFonts w:ascii="微軟正黑體" w:eastAsia="微軟正黑體" w:hAnsi="微軟正黑體" w:cstheme="minorHAnsi"/>
                <w:szCs w:val="24"/>
              </w:rPr>
              <w:t>相關建議及意見</w:t>
            </w:r>
          </w:p>
          <w:p w:rsidR="00D56EE3" w:rsidRPr="00B55920" w:rsidRDefault="00D56EE3" w:rsidP="00525292">
            <w:pPr>
              <w:snapToGrid w:val="0"/>
              <w:spacing w:beforeLines="50" w:before="180" w:afterLines="50" w:after="180" w:line="0" w:lineRule="atLeast"/>
              <w:contextualSpacing/>
              <w:jc w:val="center"/>
              <w:rPr>
                <w:rFonts w:ascii="微軟正黑體" w:eastAsia="微軟正黑體" w:hAnsi="微軟正黑體" w:cstheme="minorHAnsi"/>
                <w:szCs w:val="24"/>
              </w:rPr>
            </w:pPr>
            <w:r w:rsidRPr="00B55920">
              <w:rPr>
                <w:rFonts w:ascii="微軟正黑體" w:eastAsia="微軟正黑體" w:hAnsi="微軟正黑體" w:cstheme="minorHAnsi"/>
                <w:szCs w:val="24"/>
              </w:rPr>
              <w:t>(請提供中英文內容)</w:t>
            </w:r>
          </w:p>
        </w:tc>
      </w:tr>
      <w:tr w:rsidR="00FF7BCE" w:rsidRPr="00B55920" w:rsidTr="00FF7BCE">
        <w:trPr>
          <w:trHeight w:val="244"/>
        </w:trPr>
        <w:tc>
          <w:tcPr>
            <w:tcW w:w="5000" w:type="pct"/>
            <w:gridSpan w:val="4"/>
            <w:vAlign w:val="center"/>
          </w:tcPr>
          <w:p w:rsidR="00FF7BCE" w:rsidRPr="00B55920" w:rsidRDefault="00FF7BCE" w:rsidP="00FF7BCE">
            <w:pPr>
              <w:snapToGrid w:val="0"/>
              <w:spacing w:beforeLines="50" w:before="180" w:afterLines="50" w:after="180" w:line="0" w:lineRule="atLeast"/>
              <w:contextualSpacing/>
              <w:rPr>
                <w:rFonts w:ascii="微軟正黑體" w:eastAsia="微軟正黑體" w:hAnsi="微軟正黑體" w:cstheme="minorHAnsi"/>
                <w:szCs w:val="24"/>
              </w:rPr>
            </w:pPr>
            <w:r w:rsidRPr="00FF7BCE">
              <w:rPr>
                <w:rFonts w:eastAsia="標楷體" w:cstheme="minorHAnsi"/>
                <w:b/>
                <w:color w:val="FF0000"/>
                <w:sz w:val="28"/>
                <w:szCs w:val="24"/>
              </w:rPr>
              <w:t>1. INTRODUCTION</w:t>
            </w:r>
          </w:p>
        </w:tc>
      </w:tr>
      <w:tr w:rsidR="00FF6F20" w:rsidRPr="00B55920" w:rsidTr="00EB6C26">
        <w:trPr>
          <w:trHeight w:val="1412"/>
        </w:trPr>
        <w:tc>
          <w:tcPr>
            <w:tcW w:w="262" w:type="pct"/>
          </w:tcPr>
          <w:p w:rsidR="00FF6F20" w:rsidRPr="00B55920" w:rsidRDefault="00FF6F20" w:rsidP="00525292">
            <w:pPr>
              <w:snapToGrid w:val="0"/>
              <w:spacing w:beforeLines="50" w:before="180" w:afterLines="50" w:after="180" w:line="0" w:lineRule="atLeast"/>
              <w:contextualSpacing/>
              <w:jc w:val="center"/>
              <w:rPr>
                <w:rFonts w:eastAsia="標楷體" w:cstheme="minorHAnsi"/>
                <w:szCs w:val="24"/>
              </w:rPr>
            </w:pPr>
            <w:bookmarkStart w:id="0" w:name="_Hlk71635558"/>
          </w:p>
        </w:tc>
        <w:tc>
          <w:tcPr>
            <w:tcW w:w="1089" w:type="pct"/>
          </w:tcPr>
          <w:p w:rsidR="00FF6F20" w:rsidRPr="00A31C95" w:rsidRDefault="006F70D0" w:rsidP="00525292">
            <w:pPr>
              <w:snapToGrid w:val="0"/>
              <w:spacing w:beforeLines="50" w:before="180" w:afterLines="50" w:after="180" w:line="0" w:lineRule="atLeast"/>
              <w:contextualSpacing/>
              <w:rPr>
                <w:rFonts w:eastAsia="標楷體" w:cstheme="minorHAnsi"/>
                <w:b/>
                <w:szCs w:val="24"/>
              </w:rPr>
            </w:pPr>
            <w:r w:rsidRPr="006F70D0">
              <w:rPr>
                <w:rFonts w:eastAsia="標楷體" w:cstheme="minorHAnsi"/>
                <w:b/>
                <w:szCs w:val="24"/>
              </w:rPr>
              <w:t xml:space="preserve">1.1 </w:t>
            </w:r>
            <w:r w:rsidR="001A0218" w:rsidRPr="001A0218">
              <w:rPr>
                <w:rFonts w:eastAsia="標楷體" w:cstheme="minorHAnsi"/>
                <w:b/>
                <w:szCs w:val="24"/>
              </w:rPr>
              <w:t>Objectives of the ICH S12 Guideline</w:t>
            </w:r>
          </w:p>
        </w:tc>
        <w:tc>
          <w:tcPr>
            <w:tcW w:w="2679" w:type="pct"/>
          </w:tcPr>
          <w:p w:rsidR="00BE60BE" w:rsidRPr="00B55920" w:rsidRDefault="001A0218" w:rsidP="005C140E">
            <w:pPr>
              <w:snapToGrid w:val="0"/>
              <w:spacing w:before="10" w:line="0" w:lineRule="atLeast"/>
              <w:jc w:val="both"/>
              <w:rPr>
                <w:rFonts w:eastAsia="標楷體" w:cstheme="minorHAnsi"/>
                <w:szCs w:val="24"/>
              </w:rPr>
            </w:pPr>
            <w:r w:rsidRPr="001A0218">
              <w:rPr>
                <w:rFonts w:eastAsia="Times New Roman"/>
              </w:rPr>
              <w:t xml:space="preserve">The objective of this guideline is to provide </w:t>
            </w:r>
            <w:proofErr w:type="spellStart"/>
            <w:r w:rsidRPr="001A0218">
              <w:rPr>
                <w:rFonts w:eastAsia="Times New Roman"/>
              </w:rPr>
              <w:t>harmonised</w:t>
            </w:r>
            <w:proofErr w:type="spellEnd"/>
            <w:r w:rsidRPr="001A0218">
              <w:rPr>
                <w:rFonts w:eastAsia="Times New Roman"/>
              </w:rPr>
              <w:t xml:space="preserve"> recommendations for the conduct of nonclinical biodistribution (BD) studies in the development of gene therapy (GT) products. This document provides recommendations for the overall design of nonclinical BD</w:t>
            </w:r>
            <w:r>
              <w:rPr>
                <w:rFonts w:eastAsia="Times New Roman"/>
              </w:rPr>
              <w:t xml:space="preserve"> </w:t>
            </w:r>
            <w:r w:rsidRPr="001A0218">
              <w:rPr>
                <w:rFonts w:eastAsia="Times New Roman"/>
              </w:rPr>
              <w:t xml:space="preserve">assessments. Considerations for interpretation and application of the BD data to support a nonclinical development </w:t>
            </w:r>
            <w:proofErr w:type="spellStart"/>
            <w:r w:rsidRPr="001A0218">
              <w:rPr>
                <w:rFonts w:eastAsia="Times New Roman"/>
              </w:rPr>
              <w:t>programme</w:t>
            </w:r>
            <w:proofErr w:type="spellEnd"/>
            <w:r w:rsidRPr="001A0218">
              <w:rPr>
                <w:rFonts w:eastAsia="Times New Roman"/>
              </w:rPr>
              <w:t xml:space="preserve"> and the design of clinical trials are also provided. The</w:t>
            </w:r>
            <w:r>
              <w:rPr>
                <w:rFonts w:eastAsia="Times New Roman"/>
              </w:rPr>
              <w:t xml:space="preserve"> </w:t>
            </w:r>
            <w:r w:rsidRPr="001A0218">
              <w:rPr>
                <w:rFonts w:eastAsia="Times New Roman"/>
              </w:rPr>
              <w:t xml:space="preserve">recommendations in this guideline </w:t>
            </w:r>
            <w:proofErr w:type="spellStart"/>
            <w:r w:rsidRPr="001A0218">
              <w:rPr>
                <w:rFonts w:eastAsia="Times New Roman"/>
              </w:rPr>
              <w:t>endeavour</w:t>
            </w:r>
            <w:proofErr w:type="spellEnd"/>
            <w:r w:rsidRPr="001A0218">
              <w:rPr>
                <w:rFonts w:eastAsia="Times New Roman"/>
              </w:rPr>
              <w:t xml:space="preserve"> to facilitate the development of GT products while avoiding unnecessary use of animals, in accordance with the 3Rs (reduce/refine/replace) principles.</w:t>
            </w:r>
          </w:p>
        </w:tc>
        <w:tc>
          <w:tcPr>
            <w:tcW w:w="970" w:type="pct"/>
          </w:tcPr>
          <w:p w:rsidR="00FF6F20" w:rsidRPr="00B55920" w:rsidRDefault="00FF6F20" w:rsidP="00525292">
            <w:pPr>
              <w:snapToGrid w:val="0"/>
              <w:spacing w:beforeLines="50" w:before="180" w:afterLines="50" w:after="180" w:line="0" w:lineRule="atLeast"/>
              <w:contextualSpacing/>
              <w:rPr>
                <w:rFonts w:eastAsia="標楷體" w:cstheme="minorHAnsi"/>
                <w:szCs w:val="24"/>
              </w:rPr>
            </w:pPr>
            <w:bookmarkStart w:id="1" w:name="_GoBack"/>
            <w:bookmarkEnd w:id="1"/>
          </w:p>
        </w:tc>
      </w:tr>
      <w:bookmarkEnd w:id="0"/>
      <w:tr w:rsidR="00FF6F20" w:rsidRPr="00B55920" w:rsidTr="00EB6C26">
        <w:tc>
          <w:tcPr>
            <w:tcW w:w="262" w:type="pct"/>
          </w:tcPr>
          <w:p w:rsidR="00FF6F20" w:rsidRPr="00B55920" w:rsidRDefault="00FF6F20" w:rsidP="00525292">
            <w:pPr>
              <w:snapToGrid w:val="0"/>
              <w:spacing w:beforeLines="50" w:before="180" w:afterLines="50" w:after="180" w:line="0" w:lineRule="atLeast"/>
              <w:contextualSpacing/>
              <w:jc w:val="center"/>
              <w:rPr>
                <w:rFonts w:eastAsia="標楷體" w:cstheme="minorHAnsi"/>
                <w:szCs w:val="24"/>
              </w:rPr>
            </w:pPr>
          </w:p>
        </w:tc>
        <w:tc>
          <w:tcPr>
            <w:tcW w:w="1089" w:type="pct"/>
          </w:tcPr>
          <w:p w:rsidR="00FF6F20" w:rsidRPr="00A31C95" w:rsidRDefault="006F70D0" w:rsidP="005C140E">
            <w:pPr>
              <w:snapToGrid w:val="0"/>
              <w:spacing w:line="0" w:lineRule="atLeast"/>
              <w:contextualSpacing/>
              <w:rPr>
                <w:rFonts w:eastAsia="標楷體" w:cstheme="minorHAnsi"/>
                <w:b/>
                <w:szCs w:val="24"/>
              </w:rPr>
            </w:pPr>
            <w:r w:rsidRPr="006F70D0">
              <w:rPr>
                <w:rFonts w:eastAsia="標楷體" w:cstheme="minorHAnsi"/>
                <w:b/>
                <w:szCs w:val="24"/>
              </w:rPr>
              <w:t xml:space="preserve">1.2 </w:t>
            </w:r>
            <w:r w:rsidR="001A0218" w:rsidRPr="001A0218">
              <w:rPr>
                <w:rFonts w:eastAsia="標楷體" w:cstheme="minorHAnsi"/>
                <w:b/>
                <w:szCs w:val="24"/>
              </w:rPr>
              <w:t>Background</w:t>
            </w:r>
          </w:p>
        </w:tc>
        <w:tc>
          <w:tcPr>
            <w:tcW w:w="2679" w:type="pct"/>
          </w:tcPr>
          <w:p w:rsidR="00A31C95" w:rsidRPr="006F70D0" w:rsidRDefault="001A0218" w:rsidP="005C140E">
            <w:pPr>
              <w:snapToGrid w:val="0"/>
              <w:spacing w:line="0" w:lineRule="atLeast"/>
              <w:jc w:val="both"/>
              <w:rPr>
                <w:rFonts w:eastAsia="Times New Roman"/>
                <w:spacing w:val="-1"/>
              </w:rPr>
            </w:pPr>
            <w:r>
              <w:rPr>
                <w:sz w:val="23"/>
                <w:szCs w:val="23"/>
              </w:rPr>
              <w:t xml:space="preserve">An understanding of the BD profile of a GT product following </w:t>
            </w:r>
            <w:r>
              <w:rPr>
                <w:i/>
                <w:iCs/>
                <w:sz w:val="23"/>
                <w:szCs w:val="23"/>
              </w:rPr>
              <w:t xml:space="preserve">in vivo </w:t>
            </w:r>
            <w:r>
              <w:rPr>
                <w:sz w:val="23"/>
                <w:szCs w:val="23"/>
              </w:rPr>
              <w:t xml:space="preserve">administration is an important element of the nonclinical development </w:t>
            </w:r>
            <w:proofErr w:type="spellStart"/>
            <w:r>
              <w:rPr>
                <w:sz w:val="23"/>
                <w:szCs w:val="23"/>
              </w:rPr>
              <w:t>programme</w:t>
            </w:r>
            <w:proofErr w:type="spellEnd"/>
            <w:r>
              <w:rPr>
                <w:sz w:val="23"/>
                <w:szCs w:val="23"/>
              </w:rPr>
              <w:t xml:space="preserve">. BD data contribute to the interpretation and design of nonclinical pharmacology and toxicology studies conducted to support early-phase clinical trials in the target population. Although guidelines that include recommendations for BD studies have been issued by various regulatory authorities, this document provides a </w:t>
            </w:r>
            <w:proofErr w:type="spellStart"/>
            <w:r>
              <w:rPr>
                <w:sz w:val="23"/>
                <w:szCs w:val="23"/>
              </w:rPr>
              <w:t>harmonised</w:t>
            </w:r>
            <w:proofErr w:type="spellEnd"/>
            <w:r>
              <w:rPr>
                <w:sz w:val="23"/>
                <w:szCs w:val="23"/>
              </w:rPr>
              <w:t xml:space="preserve"> definition for nonclinical BD and conveys overall considerations for assessing BD for GT products.</w:t>
            </w:r>
          </w:p>
        </w:tc>
        <w:tc>
          <w:tcPr>
            <w:tcW w:w="970" w:type="pct"/>
          </w:tcPr>
          <w:p w:rsidR="00FF6F20" w:rsidRPr="00B55920" w:rsidRDefault="00FF6F20" w:rsidP="00525292">
            <w:pPr>
              <w:snapToGrid w:val="0"/>
              <w:spacing w:beforeLines="50" w:before="180" w:afterLines="50" w:after="180" w:line="0" w:lineRule="atLeast"/>
              <w:contextualSpacing/>
              <w:rPr>
                <w:rFonts w:eastAsia="標楷體" w:cstheme="minorHAnsi"/>
                <w:szCs w:val="24"/>
              </w:rPr>
            </w:pPr>
          </w:p>
        </w:tc>
      </w:tr>
      <w:tr w:rsidR="00501053" w:rsidRPr="00B55920" w:rsidTr="00EB6C26">
        <w:tc>
          <w:tcPr>
            <w:tcW w:w="262" w:type="pct"/>
          </w:tcPr>
          <w:p w:rsidR="00501053" w:rsidRPr="00B55920" w:rsidRDefault="00501053" w:rsidP="00501053">
            <w:pPr>
              <w:snapToGrid w:val="0"/>
              <w:spacing w:beforeLines="50" w:before="180" w:afterLines="50" w:after="180" w:line="0" w:lineRule="atLeast"/>
              <w:contextualSpacing/>
              <w:jc w:val="center"/>
              <w:rPr>
                <w:rFonts w:eastAsia="標楷體" w:cstheme="minorHAnsi"/>
                <w:szCs w:val="24"/>
              </w:rPr>
            </w:pPr>
          </w:p>
        </w:tc>
        <w:tc>
          <w:tcPr>
            <w:tcW w:w="1089" w:type="pct"/>
          </w:tcPr>
          <w:p w:rsidR="00501053" w:rsidRPr="006F70D0" w:rsidRDefault="00501053" w:rsidP="00501053">
            <w:pPr>
              <w:snapToGrid w:val="0"/>
              <w:spacing w:line="0" w:lineRule="atLeast"/>
              <w:contextualSpacing/>
              <w:rPr>
                <w:rFonts w:eastAsia="標楷體" w:cstheme="minorHAnsi"/>
                <w:b/>
                <w:szCs w:val="24"/>
              </w:rPr>
            </w:pPr>
            <w:r w:rsidRPr="006F70D0">
              <w:rPr>
                <w:rFonts w:eastAsia="標楷體" w:cstheme="minorHAnsi"/>
                <w:b/>
                <w:szCs w:val="24"/>
              </w:rPr>
              <w:t xml:space="preserve">1.3 </w:t>
            </w:r>
            <w:r>
              <w:rPr>
                <w:rFonts w:eastAsia="標楷體" w:cstheme="minorHAnsi"/>
                <w:b/>
                <w:szCs w:val="24"/>
              </w:rPr>
              <w:t>Scope</w:t>
            </w:r>
          </w:p>
        </w:tc>
        <w:tc>
          <w:tcPr>
            <w:tcW w:w="2679" w:type="pct"/>
          </w:tcPr>
          <w:p w:rsidR="00501053" w:rsidRDefault="00501053" w:rsidP="00501053">
            <w:pPr>
              <w:snapToGrid w:val="0"/>
              <w:spacing w:line="0" w:lineRule="atLeast"/>
              <w:jc w:val="both"/>
              <w:rPr>
                <w:sz w:val="23"/>
                <w:szCs w:val="23"/>
              </w:rPr>
            </w:pPr>
            <w:r>
              <w:rPr>
                <w:sz w:val="23"/>
                <w:szCs w:val="23"/>
              </w:rPr>
              <w:t xml:space="preserve">GT products within the scope of this guideline include products that mediate their effect by the expression (transcription or translation) of transferred genetic materials. Some examples of GT products can include purified nucleic acid (e.g., plasmids and RNA), microorganisms (e.g., viruses, bacteria, fungi) genetically modified to express transgenes (including products that edit the host genome), and </w:t>
            </w:r>
            <w:r>
              <w:rPr>
                <w:i/>
                <w:iCs/>
                <w:sz w:val="23"/>
                <w:szCs w:val="23"/>
              </w:rPr>
              <w:t xml:space="preserve">ex vivo </w:t>
            </w:r>
            <w:r>
              <w:rPr>
                <w:sz w:val="23"/>
                <w:szCs w:val="23"/>
              </w:rPr>
              <w:t xml:space="preserve">genetically modified human cells. Products that are intended to alter the host cell genome </w:t>
            </w:r>
            <w:r>
              <w:rPr>
                <w:i/>
                <w:iCs/>
                <w:sz w:val="23"/>
                <w:szCs w:val="23"/>
              </w:rPr>
              <w:t xml:space="preserve">in vivo </w:t>
            </w:r>
            <w:r>
              <w:rPr>
                <w:sz w:val="23"/>
                <w:szCs w:val="23"/>
              </w:rPr>
              <w:t xml:space="preserve">without specific transcription or translation (i.e., delivery of a nuclease and guide RNA by non-viral methods) are also covered in this guidance. Although not currently considered GT in certain regions, the principles outlined in this guideline are also applicable to oncolytic viruses that are not genetically modified to express a transgene. This guideline does not apply to prophylactic vaccines. Chemically </w:t>
            </w:r>
            <w:proofErr w:type="spellStart"/>
            <w:r>
              <w:rPr>
                <w:sz w:val="23"/>
                <w:szCs w:val="23"/>
              </w:rPr>
              <w:t>synthesised</w:t>
            </w:r>
            <w:proofErr w:type="spellEnd"/>
            <w:r>
              <w:rPr>
                <w:sz w:val="23"/>
                <w:szCs w:val="23"/>
              </w:rPr>
              <w:t xml:space="preserve"> </w:t>
            </w:r>
            <w:r>
              <w:rPr>
                <w:sz w:val="23"/>
                <w:szCs w:val="23"/>
              </w:rPr>
              <w:lastRenderedPageBreak/>
              <w:t xml:space="preserve">oligonucleotides or their analogues, which are not produced using a biotechnology-based manufacturing </w:t>
            </w:r>
            <w:proofErr w:type="spellStart"/>
            <w:proofErr w:type="gramStart"/>
            <w:r>
              <w:rPr>
                <w:sz w:val="23"/>
                <w:szCs w:val="23"/>
              </w:rPr>
              <w:t>process,are</w:t>
            </w:r>
            <w:proofErr w:type="spellEnd"/>
            <w:proofErr w:type="gramEnd"/>
            <w:r>
              <w:rPr>
                <w:sz w:val="23"/>
                <w:szCs w:val="23"/>
              </w:rPr>
              <w:t xml:space="preserve"> outside the scope of this guideline. The release of a GT product outside the body via excreta (feces), </w:t>
            </w:r>
            <w:proofErr w:type="spellStart"/>
            <w:r>
              <w:rPr>
                <w:sz w:val="23"/>
                <w:szCs w:val="23"/>
              </w:rPr>
              <w:t>secreta</w:t>
            </w:r>
            <w:proofErr w:type="spellEnd"/>
            <w:r>
              <w:rPr>
                <w:sz w:val="23"/>
                <w:szCs w:val="23"/>
              </w:rPr>
              <w:t xml:space="preserve"> (urine, saliva, nasopharyngeal fluids, etc.), or through the skin (pustules, sores, wounds) is termed ‘shedding’. Evaluation of the nonclinical shedding profile of a GT product is outside the scope of this guideline. Assessment of genomic integration and germline integration of GT products are also outside the scope of this guideline.</w:t>
            </w:r>
          </w:p>
        </w:tc>
        <w:tc>
          <w:tcPr>
            <w:tcW w:w="970" w:type="pct"/>
          </w:tcPr>
          <w:p w:rsidR="00501053" w:rsidRPr="00B55920" w:rsidRDefault="00501053" w:rsidP="00501053">
            <w:pPr>
              <w:snapToGrid w:val="0"/>
              <w:spacing w:beforeLines="50" w:before="180" w:afterLines="50" w:after="180" w:line="0" w:lineRule="atLeast"/>
              <w:contextualSpacing/>
              <w:rPr>
                <w:rFonts w:eastAsia="標楷體" w:cstheme="minorHAnsi"/>
                <w:szCs w:val="24"/>
              </w:rPr>
            </w:pPr>
          </w:p>
        </w:tc>
      </w:tr>
      <w:tr w:rsidR="00501053" w:rsidRPr="00B55920" w:rsidTr="007E3C22">
        <w:tc>
          <w:tcPr>
            <w:tcW w:w="5000" w:type="pct"/>
            <w:gridSpan w:val="4"/>
          </w:tcPr>
          <w:p w:rsidR="00501053" w:rsidRPr="007E3C22" w:rsidRDefault="00501053" w:rsidP="00501053">
            <w:pPr>
              <w:snapToGrid w:val="0"/>
              <w:spacing w:beforeLines="50" w:before="180" w:afterLines="50" w:after="180" w:line="0" w:lineRule="atLeast"/>
              <w:contextualSpacing/>
              <w:rPr>
                <w:rFonts w:eastAsia="標楷體" w:cstheme="minorHAnsi"/>
                <w:b/>
                <w:color w:val="FF0000"/>
                <w:sz w:val="28"/>
                <w:szCs w:val="24"/>
              </w:rPr>
            </w:pPr>
            <w:r w:rsidRPr="007E3C22">
              <w:rPr>
                <w:rFonts w:eastAsia="標楷體" w:cstheme="minorHAnsi"/>
                <w:b/>
                <w:color w:val="FF0000"/>
                <w:sz w:val="28"/>
                <w:szCs w:val="24"/>
              </w:rPr>
              <w:t xml:space="preserve">2. </w:t>
            </w:r>
            <w:r w:rsidR="00F61823" w:rsidRPr="00F61823">
              <w:rPr>
                <w:rFonts w:eastAsia="標楷體" w:cstheme="minorHAnsi"/>
                <w:b/>
                <w:color w:val="FF0000"/>
                <w:sz w:val="28"/>
                <w:szCs w:val="24"/>
              </w:rPr>
              <w:t>DEFINITION OF NONCLINICAL BD</w:t>
            </w:r>
          </w:p>
        </w:tc>
      </w:tr>
      <w:tr w:rsidR="00501053" w:rsidRPr="00B55920" w:rsidTr="00EB6C26">
        <w:tc>
          <w:tcPr>
            <w:tcW w:w="262" w:type="pct"/>
          </w:tcPr>
          <w:p w:rsidR="00501053" w:rsidRPr="00B55920" w:rsidRDefault="00501053" w:rsidP="00501053">
            <w:pPr>
              <w:snapToGrid w:val="0"/>
              <w:spacing w:beforeLines="50" w:before="180" w:afterLines="50" w:after="180" w:line="0" w:lineRule="atLeast"/>
              <w:contextualSpacing/>
              <w:jc w:val="center"/>
              <w:rPr>
                <w:rFonts w:eastAsia="標楷體" w:cstheme="minorHAnsi"/>
                <w:szCs w:val="24"/>
              </w:rPr>
            </w:pPr>
          </w:p>
        </w:tc>
        <w:tc>
          <w:tcPr>
            <w:tcW w:w="1089" w:type="pct"/>
          </w:tcPr>
          <w:p w:rsidR="00501053" w:rsidRPr="006F70D0" w:rsidRDefault="00501053" w:rsidP="00501053">
            <w:pPr>
              <w:snapToGrid w:val="0"/>
              <w:spacing w:line="0" w:lineRule="atLeast"/>
              <w:contextualSpacing/>
              <w:rPr>
                <w:rFonts w:eastAsia="標楷體" w:cstheme="minorHAnsi"/>
                <w:b/>
                <w:szCs w:val="24"/>
              </w:rPr>
            </w:pPr>
          </w:p>
        </w:tc>
        <w:tc>
          <w:tcPr>
            <w:tcW w:w="2679" w:type="pct"/>
          </w:tcPr>
          <w:p w:rsidR="00F61823" w:rsidRPr="003B207D" w:rsidRDefault="00F61823" w:rsidP="00F61823">
            <w:pPr>
              <w:autoSpaceDE w:val="0"/>
              <w:autoSpaceDN w:val="0"/>
              <w:adjustRightInd w:val="0"/>
              <w:snapToGrid w:val="0"/>
              <w:spacing w:before="117" w:line="243" w:lineRule="auto"/>
              <w:jc w:val="both"/>
            </w:pPr>
            <w:r>
              <w:t>BD is the in vivo distribution, persistence, and clearance of a GT product at the site of administration and in target and non-target tissues, including biofluids (e.g., blood, cerebrospinal fluid, vitreous fluid), in biologically relevant animal species. Nonclinical BD studies entail the use of analytical methods to detect the GT product and transferred genetic material in collected samples and can include methods to detect the expression product of the transferred genetic material.</w:t>
            </w:r>
          </w:p>
        </w:tc>
        <w:tc>
          <w:tcPr>
            <w:tcW w:w="970" w:type="pct"/>
          </w:tcPr>
          <w:p w:rsidR="00501053" w:rsidRPr="00B55920" w:rsidRDefault="00501053" w:rsidP="00501053">
            <w:pPr>
              <w:snapToGrid w:val="0"/>
              <w:spacing w:beforeLines="50" w:before="180" w:afterLines="50" w:after="180" w:line="0" w:lineRule="atLeast"/>
              <w:contextualSpacing/>
              <w:rPr>
                <w:rFonts w:eastAsia="標楷體" w:cstheme="minorHAnsi"/>
                <w:szCs w:val="24"/>
              </w:rPr>
            </w:pPr>
          </w:p>
        </w:tc>
      </w:tr>
      <w:tr w:rsidR="000B7394" w:rsidRPr="00B55920" w:rsidTr="000B7394">
        <w:tc>
          <w:tcPr>
            <w:tcW w:w="5000" w:type="pct"/>
            <w:gridSpan w:val="4"/>
          </w:tcPr>
          <w:p w:rsidR="000B7394" w:rsidRPr="00B55920" w:rsidRDefault="000B7394" w:rsidP="00501053">
            <w:pPr>
              <w:snapToGrid w:val="0"/>
              <w:spacing w:beforeLines="50" w:before="180" w:afterLines="50" w:after="180" w:line="0" w:lineRule="atLeast"/>
              <w:contextualSpacing/>
              <w:rPr>
                <w:rFonts w:eastAsia="標楷體" w:cstheme="minorHAnsi"/>
                <w:szCs w:val="24"/>
              </w:rPr>
            </w:pPr>
            <w:r>
              <w:rPr>
                <w:rFonts w:eastAsia="標楷體" w:cstheme="minorHAnsi"/>
                <w:b/>
                <w:color w:val="FF0000"/>
                <w:sz w:val="28"/>
                <w:szCs w:val="24"/>
              </w:rPr>
              <w:t>3</w:t>
            </w:r>
            <w:r w:rsidRPr="00A6099A">
              <w:rPr>
                <w:rFonts w:eastAsia="標楷體" w:cstheme="minorHAnsi"/>
                <w:b/>
                <w:color w:val="FF0000"/>
                <w:sz w:val="28"/>
                <w:szCs w:val="24"/>
              </w:rPr>
              <w:t>. TIMING OF NONCLINICAL BD ASSESSMENT</w:t>
            </w:r>
          </w:p>
        </w:tc>
      </w:tr>
      <w:tr w:rsidR="00A6099A" w:rsidRPr="00B55920" w:rsidTr="00EB6C26">
        <w:tc>
          <w:tcPr>
            <w:tcW w:w="262" w:type="pct"/>
          </w:tcPr>
          <w:p w:rsidR="00A6099A" w:rsidRPr="00B55920" w:rsidRDefault="00A6099A" w:rsidP="00501053">
            <w:pPr>
              <w:snapToGrid w:val="0"/>
              <w:spacing w:beforeLines="50" w:before="180" w:afterLines="50" w:after="180" w:line="0" w:lineRule="atLeast"/>
              <w:contextualSpacing/>
              <w:jc w:val="center"/>
              <w:rPr>
                <w:rFonts w:eastAsia="標楷體" w:cstheme="minorHAnsi"/>
                <w:szCs w:val="24"/>
              </w:rPr>
            </w:pPr>
          </w:p>
        </w:tc>
        <w:tc>
          <w:tcPr>
            <w:tcW w:w="1089" w:type="pct"/>
          </w:tcPr>
          <w:p w:rsidR="00A6099A" w:rsidRPr="006F70D0" w:rsidRDefault="00A6099A" w:rsidP="00501053">
            <w:pPr>
              <w:snapToGrid w:val="0"/>
              <w:spacing w:line="0" w:lineRule="atLeast"/>
              <w:contextualSpacing/>
              <w:rPr>
                <w:rFonts w:eastAsia="標楷體" w:cstheme="minorHAnsi"/>
                <w:b/>
                <w:szCs w:val="24"/>
              </w:rPr>
            </w:pPr>
          </w:p>
        </w:tc>
        <w:tc>
          <w:tcPr>
            <w:tcW w:w="2679" w:type="pct"/>
          </w:tcPr>
          <w:p w:rsidR="00A6099A" w:rsidRDefault="001D22F4" w:rsidP="00F61823">
            <w:pPr>
              <w:autoSpaceDE w:val="0"/>
              <w:autoSpaceDN w:val="0"/>
              <w:adjustRightInd w:val="0"/>
              <w:snapToGrid w:val="0"/>
              <w:spacing w:before="117" w:line="243" w:lineRule="auto"/>
              <w:jc w:val="both"/>
            </w:pPr>
            <w:r w:rsidRPr="001D22F4">
              <w:t xml:space="preserve">Preliminary BD data obtained at an early stage of a nonclinical development </w:t>
            </w:r>
            <w:proofErr w:type="spellStart"/>
            <w:r w:rsidRPr="001D22F4">
              <w:t>programme</w:t>
            </w:r>
            <w:proofErr w:type="spellEnd"/>
            <w:r w:rsidRPr="001D22F4">
              <w:t xml:space="preserve"> can potentially aid in species selection for subsequent pharmacology and toxicology studies (see Section 4.3). In addition, BD data should be available when evaluating and interpreting the nonclinical pharmacology and toxicology findings. Nonclinical BD data can also inform design aspects of a first-in-human clinical trial (see Section 6), thus it is important that nonclinical BD assessment be completed prior to initiation of the clinical trial.</w:t>
            </w:r>
          </w:p>
        </w:tc>
        <w:tc>
          <w:tcPr>
            <w:tcW w:w="970" w:type="pct"/>
          </w:tcPr>
          <w:p w:rsidR="00A6099A" w:rsidRPr="00B55920" w:rsidRDefault="00A6099A" w:rsidP="00501053">
            <w:pPr>
              <w:snapToGrid w:val="0"/>
              <w:spacing w:beforeLines="50" w:before="180" w:afterLines="50" w:after="180" w:line="0" w:lineRule="atLeast"/>
              <w:contextualSpacing/>
              <w:rPr>
                <w:rFonts w:eastAsia="標楷體" w:cstheme="minorHAnsi"/>
                <w:szCs w:val="24"/>
              </w:rPr>
            </w:pPr>
          </w:p>
        </w:tc>
      </w:tr>
      <w:tr w:rsidR="000B7394" w:rsidRPr="00B55920" w:rsidTr="000B7394">
        <w:tc>
          <w:tcPr>
            <w:tcW w:w="5000" w:type="pct"/>
            <w:gridSpan w:val="4"/>
          </w:tcPr>
          <w:p w:rsidR="000B7394" w:rsidRPr="00B55920" w:rsidRDefault="000B7394" w:rsidP="00501053">
            <w:pPr>
              <w:snapToGrid w:val="0"/>
              <w:spacing w:beforeLines="50" w:before="180" w:afterLines="50" w:after="180" w:line="0" w:lineRule="atLeast"/>
              <w:contextualSpacing/>
              <w:rPr>
                <w:rFonts w:eastAsia="標楷體" w:cstheme="minorHAnsi"/>
                <w:szCs w:val="24"/>
              </w:rPr>
            </w:pPr>
            <w:r>
              <w:rPr>
                <w:rFonts w:eastAsia="標楷體" w:cstheme="minorHAnsi"/>
                <w:b/>
                <w:color w:val="FF0000"/>
                <w:sz w:val="28"/>
                <w:szCs w:val="24"/>
              </w:rPr>
              <w:t>4</w:t>
            </w:r>
            <w:r w:rsidRPr="00A6099A">
              <w:rPr>
                <w:rFonts w:eastAsia="標楷體" w:cstheme="minorHAnsi"/>
                <w:b/>
                <w:color w:val="FF0000"/>
                <w:sz w:val="28"/>
                <w:szCs w:val="24"/>
              </w:rPr>
              <w:t xml:space="preserve">. </w:t>
            </w:r>
            <w:r w:rsidRPr="000B7394">
              <w:rPr>
                <w:rFonts w:eastAsia="標楷體" w:cstheme="minorHAnsi"/>
                <w:b/>
                <w:color w:val="FF0000"/>
                <w:sz w:val="28"/>
                <w:szCs w:val="24"/>
              </w:rPr>
              <w:t>DESIGN OF NONCLINICAL BD STUDIES</w:t>
            </w:r>
          </w:p>
        </w:tc>
      </w:tr>
      <w:tr w:rsidR="000B7394" w:rsidRPr="00B55920" w:rsidTr="00EB6C26">
        <w:tc>
          <w:tcPr>
            <w:tcW w:w="262" w:type="pct"/>
          </w:tcPr>
          <w:p w:rsidR="000B7394" w:rsidRPr="00B55920" w:rsidRDefault="000B7394" w:rsidP="00501053">
            <w:pPr>
              <w:snapToGrid w:val="0"/>
              <w:spacing w:beforeLines="50" w:before="180" w:afterLines="50" w:after="180" w:line="0" w:lineRule="atLeast"/>
              <w:contextualSpacing/>
              <w:jc w:val="center"/>
              <w:rPr>
                <w:rFonts w:eastAsia="標楷體" w:cstheme="minorHAnsi"/>
                <w:szCs w:val="24"/>
              </w:rPr>
            </w:pPr>
          </w:p>
        </w:tc>
        <w:tc>
          <w:tcPr>
            <w:tcW w:w="1089" w:type="pct"/>
          </w:tcPr>
          <w:p w:rsidR="000B7394" w:rsidRPr="000B7394" w:rsidRDefault="000B7394" w:rsidP="00501053">
            <w:pPr>
              <w:snapToGrid w:val="0"/>
              <w:spacing w:line="0" w:lineRule="atLeast"/>
              <w:contextualSpacing/>
              <w:rPr>
                <w:rFonts w:eastAsia="標楷體" w:cstheme="minorHAnsi"/>
                <w:b/>
                <w:szCs w:val="24"/>
              </w:rPr>
            </w:pPr>
            <w:r>
              <w:rPr>
                <w:rFonts w:eastAsia="標楷體" w:cstheme="minorHAnsi"/>
                <w:b/>
                <w:szCs w:val="24"/>
              </w:rPr>
              <w:t>4.1.</w:t>
            </w:r>
            <w:r>
              <w:t xml:space="preserve"> </w:t>
            </w:r>
            <w:r w:rsidRPr="000B7394">
              <w:rPr>
                <w:rFonts w:eastAsia="標楷體" w:cstheme="minorHAnsi"/>
                <w:b/>
                <w:szCs w:val="24"/>
              </w:rPr>
              <w:t>General Considerations</w:t>
            </w:r>
            <w:r w:rsidRPr="00046D1E">
              <w:rPr>
                <w:rFonts w:eastAsia="標楷體" w:cstheme="minorHAnsi"/>
                <w:b/>
                <w:szCs w:val="24"/>
              </w:rPr>
              <w:t xml:space="preserve"> </w:t>
            </w:r>
          </w:p>
        </w:tc>
        <w:tc>
          <w:tcPr>
            <w:tcW w:w="2679" w:type="pct"/>
          </w:tcPr>
          <w:p w:rsidR="00B21DB7" w:rsidRPr="00B21DB7" w:rsidRDefault="00B21DB7" w:rsidP="00B21DB7">
            <w:pPr>
              <w:autoSpaceDE w:val="0"/>
              <w:autoSpaceDN w:val="0"/>
              <w:adjustRightInd w:val="0"/>
              <w:snapToGrid w:val="0"/>
              <w:spacing w:before="117" w:line="243" w:lineRule="auto"/>
              <w:jc w:val="both"/>
            </w:pPr>
            <w:r w:rsidRPr="00B21DB7">
              <w:t xml:space="preserve">BD studies can be conducted as stand-alone BD studies or in conjunction with nonclinical pharmacology and toxicology studies (see Section 5.3). Therefore, in this document the term “BD study” represents either scenario. Nonclinical BD assessment should be performed in a biologically relevant animal species (see Section 4.3) following administration of a GT product that is representative of the intended clinical product (see Section 4.2 for possible alternate scenarios). It is important that the route of administration (ROA) reflect the intended clinical ROA to the extent possible and that the dose levels studied provide sufficient </w:t>
            </w:r>
            <w:proofErr w:type="spellStart"/>
            <w:r w:rsidRPr="00B21DB7">
              <w:t>characterisation</w:t>
            </w:r>
            <w:proofErr w:type="spellEnd"/>
            <w:r w:rsidRPr="00B21DB7">
              <w:t xml:space="preserve"> of the BD profile (see Section 4.5).</w:t>
            </w:r>
          </w:p>
          <w:p w:rsidR="000B7394" w:rsidRPr="001D22F4" w:rsidRDefault="00B21DB7" w:rsidP="00B21DB7">
            <w:pPr>
              <w:autoSpaceDE w:val="0"/>
              <w:autoSpaceDN w:val="0"/>
              <w:adjustRightInd w:val="0"/>
              <w:snapToGrid w:val="0"/>
              <w:spacing w:before="117" w:line="243" w:lineRule="auto"/>
              <w:jc w:val="both"/>
            </w:pPr>
            <w:r w:rsidRPr="00B21DB7">
              <w:t xml:space="preserve">It is important to verify the data quality, integrity, and reliability of the BD </w:t>
            </w:r>
            <w:r w:rsidRPr="00B21DB7">
              <w:lastRenderedPageBreak/>
              <w:t>evaluation. In principle, nonclinical BD studies that are not conducted in compliance with Good Laboratory Practice (GLP) are accepted; however, when BD evaluation is performed as part of a GLP-compliant toxicology study, it is important that all in-life parameters and sample collection procedures remain in compliance with GLP.</w:t>
            </w:r>
          </w:p>
        </w:tc>
        <w:tc>
          <w:tcPr>
            <w:tcW w:w="970" w:type="pct"/>
          </w:tcPr>
          <w:p w:rsidR="000B7394" w:rsidRPr="00B55920" w:rsidRDefault="000B7394" w:rsidP="00501053">
            <w:pPr>
              <w:snapToGrid w:val="0"/>
              <w:spacing w:beforeLines="50" w:before="180" w:afterLines="50" w:after="180" w:line="0" w:lineRule="atLeast"/>
              <w:contextualSpacing/>
              <w:rPr>
                <w:rFonts w:eastAsia="標楷體" w:cstheme="minorHAnsi"/>
                <w:szCs w:val="24"/>
              </w:rPr>
            </w:pPr>
          </w:p>
        </w:tc>
      </w:tr>
      <w:tr w:rsidR="00501053" w:rsidRPr="00B55920" w:rsidTr="00EB6C26">
        <w:tc>
          <w:tcPr>
            <w:tcW w:w="262" w:type="pct"/>
          </w:tcPr>
          <w:p w:rsidR="00501053" w:rsidRPr="00B55920" w:rsidRDefault="00501053" w:rsidP="00501053">
            <w:pPr>
              <w:snapToGrid w:val="0"/>
              <w:spacing w:beforeLines="50" w:before="180" w:afterLines="50" w:after="180" w:line="0" w:lineRule="atLeast"/>
              <w:contextualSpacing/>
              <w:jc w:val="center"/>
              <w:rPr>
                <w:rFonts w:eastAsia="標楷體" w:cstheme="minorHAnsi"/>
                <w:szCs w:val="24"/>
              </w:rPr>
            </w:pPr>
          </w:p>
        </w:tc>
        <w:tc>
          <w:tcPr>
            <w:tcW w:w="1089" w:type="pct"/>
          </w:tcPr>
          <w:p w:rsidR="00501053" w:rsidRPr="00046D1E" w:rsidRDefault="00967B8D" w:rsidP="00501053">
            <w:pPr>
              <w:snapToGrid w:val="0"/>
              <w:spacing w:line="0" w:lineRule="atLeast"/>
              <w:contextualSpacing/>
              <w:rPr>
                <w:rFonts w:eastAsia="標楷體" w:cstheme="minorHAnsi"/>
                <w:b/>
                <w:szCs w:val="24"/>
              </w:rPr>
            </w:pPr>
            <w:r>
              <w:rPr>
                <w:rFonts w:eastAsia="標楷體" w:cstheme="minorHAnsi"/>
                <w:b/>
                <w:szCs w:val="24"/>
              </w:rPr>
              <w:t>4</w:t>
            </w:r>
            <w:r w:rsidR="00501053" w:rsidRPr="00046D1E">
              <w:rPr>
                <w:rFonts w:eastAsia="標楷體" w:cstheme="minorHAnsi"/>
                <w:b/>
                <w:szCs w:val="24"/>
              </w:rPr>
              <w:t>.2</w:t>
            </w:r>
            <w:r>
              <w:rPr>
                <w:rFonts w:eastAsia="標楷體" w:cstheme="minorHAnsi"/>
                <w:b/>
                <w:szCs w:val="24"/>
              </w:rPr>
              <w:t>.</w:t>
            </w:r>
            <w:r>
              <w:t xml:space="preserve"> </w:t>
            </w:r>
            <w:r w:rsidRPr="00967B8D">
              <w:rPr>
                <w:rFonts w:eastAsia="標楷體" w:cstheme="minorHAnsi"/>
                <w:b/>
                <w:szCs w:val="24"/>
              </w:rPr>
              <w:t>Test Article</w:t>
            </w:r>
          </w:p>
        </w:tc>
        <w:tc>
          <w:tcPr>
            <w:tcW w:w="2679" w:type="pct"/>
          </w:tcPr>
          <w:p w:rsidR="00501053" w:rsidRPr="00046D1E" w:rsidRDefault="00E1001A" w:rsidP="00501053">
            <w:pPr>
              <w:autoSpaceDE w:val="0"/>
              <w:autoSpaceDN w:val="0"/>
              <w:adjustRightInd w:val="0"/>
              <w:snapToGrid w:val="0"/>
              <w:spacing w:before="178"/>
              <w:ind w:right="5"/>
              <w:jc w:val="both"/>
              <w:rPr>
                <w:rFonts w:eastAsia="Times New Roman"/>
              </w:rPr>
            </w:pPr>
            <w:r w:rsidRPr="00E1001A">
              <w:rPr>
                <w:rFonts w:eastAsia="Times New Roman"/>
              </w:rPr>
              <w:t xml:space="preserve">The test article administered in the nonclinical BD studies should be representative of the intended clinical GT product, taking into consideration the manufacturing process, important product characteristics (e.g., </w:t>
            </w:r>
            <w:proofErr w:type="spellStart"/>
            <w:r w:rsidRPr="00E1001A">
              <w:rPr>
                <w:rFonts w:eastAsia="Times New Roman"/>
              </w:rPr>
              <w:t>titre</w:t>
            </w:r>
            <w:proofErr w:type="spellEnd"/>
            <w:r w:rsidRPr="00E1001A">
              <w:rPr>
                <w:rFonts w:eastAsia="Times New Roman"/>
              </w:rPr>
              <w:t xml:space="preserve">), and the final clinical formulation (see Section 5.7). In some situations, nonclinical BD data generated with a GT product that consists of the clinical vector containing a different therapeutic transgene or an expression marker gene (e.g., adeno-associated virus vector of the same serotype and promoter with a fluorescent marker </w:t>
            </w:r>
            <w:proofErr w:type="gramStart"/>
            <w:r w:rsidRPr="00E1001A">
              <w:rPr>
                <w:rFonts w:eastAsia="Times New Roman"/>
              </w:rPr>
              <w:t>protein  expression</w:t>
            </w:r>
            <w:proofErr w:type="gramEnd"/>
            <w:r w:rsidRPr="00E1001A">
              <w:rPr>
                <w:rFonts w:eastAsia="Times New Roman"/>
              </w:rPr>
              <w:t xml:space="preserve"> cassette) can be leveraged to support the BD profile (see Section 5.8).</w:t>
            </w:r>
          </w:p>
        </w:tc>
        <w:tc>
          <w:tcPr>
            <w:tcW w:w="970" w:type="pct"/>
          </w:tcPr>
          <w:p w:rsidR="00501053" w:rsidRPr="00B55920" w:rsidRDefault="00501053" w:rsidP="00501053">
            <w:pPr>
              <w:snapToGrid w:val="0"/>
              <w:spacing w:beforeLines="50" w:before="180" w:afterLines="50" w:after="180" w:line="0" w:lineRule="atLeast"/>
              <w:contextualSpacing/>
              <w:rPr>
                <w:rFonts w:eastAsia="標楷體" w:cstheme="minorHAnsi"/>
                <w:szCs w:val="24"/>
              </w:rPr>
            </w:pPr>
          </w:p>
        </w:tc>
      </w:tr>
      <w:tr w:rsidR="00501053" w:rsidRPr="00B55920" w:rsidTr="00EB6C26">
        <w:tc>
          <w:tcPr>
            <w:tcW w:w="262" w:type="pct"/>
          </w:tcPr>
          <w:p w:rsidR="00501053" w:rsidRPr="00B55920" w:rsidRDefault="00501053" w:rsidP="00501053">
            <w:pPr>
              <w:snapToGrid w:val="0"/>
              <w:spacing w:beforeLines="50" w:before="180" w:afterLines="50" w:after="180" w:line="0" w:lineRule="atLeast"/>
              <w:contextualSpacing/>
              <w:jc w:val="center"/>
              <w:rPr>
                <w:rFonts w:eastAsia="標楷體" w:cstheme="minorHAnsi"/>
                <w:szCs w:val="24"/>
              </w:rPr>
            </w:pPr>
          </w:p>
        </w:tc>
        <w:tc>
          <w:tcPr>
            <w:tcW w:w="1089" w:type="pct"/>
          </w:tcPr>
          <w:p w:rsidR="00501053" w:rsidRPr="00046D1E" w:rsidRDefault="00066040" w:rsidP="00501053">
            <w:pPr>
              <w:snapToGrid w:val="0"/>
              <w:spacing w:line="0" w:lineRule="atLeast"/>
              <w:contextualSpacing/>
              <w:rPr>
                <w:rFonts w:eastAsia="標楷體" w:cstheme="minorHAnsi"/>
                <w:b/>
                <w:szCs w:val="24"/>
              </w:rPr>
            </w:pPr>
            <w:r>
              <w:rPr>
                <w:rFonts w:eastAsia="標楷體" w:cstheme="minorHAnsi"/>
                <w:b/>
                <w:szCs w:val="24"/>
              </w:rPr>
              <w:t>4</w:t>
            </w:r>
            <w:r w:rsidR="00501053" w:rsidRPr="00046D1E">
              <w:rPr>
                <w:rFonts w:eastAsia="標楷體" w:cstheme="minorHAnsi"/>
                <w:b/>
                <w:szCs w:val="24"/>
              </w:rPr>
              <w:t>.3</w:t>
            </w:r>
            <w:r>
              <w:rPr>
                <w:rFonts w:eastAsia="標楷體" w:cstheme="minorHAnsi"/>
                <w:b/>
                <w:szCs w:val="24"/>
              </w:rPr>
              <w:t>.</w:t>
            </w:r>
            <w:r>
              <w:t xml:space="preserve"> </w:t>
            </w:r>
            <w:r w:rsidRPr="00066040">
              <w:rPr>
                <w:rFonts w:eastAsia="標楷體" w:cstheme="minorHAnsi"/>
                <w:b/>
                <w:szCs w:val="24"/>
              </w:rPr>
              <w:t>Animal Species or Model</w:t>
            </w:r>
          </w:p>
        </w:tc>
        <w:tc>
          <w:tcPr>
            <w:tcW w:w="2679" w:type="pct"/>
          </w:tcPr>
          <w:p w:rsidR="002826D2" w:rsidRDefault="002826D2" w:rsidP="002826D2">
            <w:pPr>
              <w:autoSpaceDE w:val="0"/>
              <w:autoSpaceDN w:val="0"/>
              <w:adjustRightInd w:val="0"/>
              <w:snapToGrid w:val="0"/>
              <w:spacing w:before="117" w:line="243" w:lineRule="auto"/>
              <w:jc w:val="both"/>
            </w:pPr>
            <w:r>
              <w:t>BD assessment should be conducted in a biologically relevant animal species or model that is</w:t>
            </w:r>
            <w:r>
              <w:rPr>
                <w:rFonts w:hint="eastAsia"/>
              </w:rPr>
              <w:t xml:space="preserve"> </w:t>
            </w:r>
            <w:r>
              <w:t>permissive for transfer and expression of the genetic material. Selection factors can include species differences in tissue tropism, gene transfer efficiency, and transgene expression in target and non-target tissues/cells. If working with a replication competent vector, it is important that the animal species or model be permissive to vector replication.</w:t>
            </w:r>
          </w:p>
          <w:p w:rsidR="00501053" w:rsidRPr="00046D1E" w:rsidRDefault="002826D2" w:rsidP="002826D2">
            <w:pPr>
              <w:autoSpaceDE w:val="0"/>
              <w:autoSpaceDN w:val="0"/>
              <w:adjustRightInd w:val="0"/>
              <w:snapToGrid w:val="0"/>
              <w:spacing w:before="117" w:line="243" w:lineRule="auto"/>
              <w:jc w:val="both"/>
            </w:pPr>
            <w:r>
              <w:t>The influence of species, sex, age, physiologic condition (i.e., healthy animal vs. animal disease model) on the BD profile can also be important. In addition, the potential for the animal species to mount an immune response against the administered vector and/or expression product should be considered (see Section 5.4). BD data generated from preliminary studies evaluating gene transfer efficiency or assay methodologies can aid justification of an appropriate animal species selected for comprehensive BD assessment in subsequent studies.</w:t>
            </w:r>
          </w:p>
        </w:tc>
        <w:tc>
          <w:tcPr>
            <w:tcW w:w="970" w:type="pct"/>
          </w:tcPr>
          <w:p w:rsidR="00501053" w:rsidRPr="00B55920" w:rsidRDefault="00501053" w:rsidP="00501053">
            <w:pPr>
              <w:snapToGrid w:val="0"/>
              <w:spacing w:beforeLines="50" w:before="180" w:afterLines="50" w:after="180" w:line="0" w:lineRule="atLeast"/>
              <w:contextualSpacing/>
              <w:rPr>
                <w:rFonts w:eastAsia="標楷體" w:cstheme="minorHAnsi"/>
                <w:szCs w:val="24"/>
              </w:rPr>
            </w:pPr>
          </w:p>
        </w:tc>
      </w:tr>
      <w:tr w:rsidR="005C07A5" w:rsidRPr="00B55920" w:rsidTr="00EB6C26">
        <w:tc>
          <w:tcPr>
            <w:tcW w:w="262" w:type="pct"/>
          </w:tcPr>
          <w:p w:rsidR="005C07A5" w:rsidRPr="00B55920" w:rsidRDefault="005C07A5" w:rsidP="005C07A5">
            <w:pPr>
              <w:snapToGrid w:val="0"/>
              <w:spacing w:beforeLines="50" w:before="180" w:afterLines="50" w:after="180" w:line="0" w:lineRule="atLeast"/>
              <w:contextualSpacing/>
              <w:jc w:val="center"/>
              <w:rPr>
                <w:rFonts w:eastAsia="標楷體" w:cstheme="minorHAnsi"/>
                <w:szCs w:val="24"/>
              </w:rPr>
            </w:pPr>
          </w:p>
        </w:tc>
        <w:tc>
          <w:tcPr>
            <w:tcW w:w="1089" w:type="pct"/>
          </w:tcPr>
          <w:p w:rsidR="005C07A5" w:rsidRPr="00046D1E" w:rsidRDefault="005C07A5" w:rsidP="005C07A5">
            <w:pPr>
              <w:snapToGrid w:val="0"/>
              <w:spacing w:line="0" w:lineRule="atLeast"/>
              <w:contextualSpacing/>
              <w:rPr>
                <w:rFonts w:eastAsia="標楷體" w:cstheme="minorHAnsi"/>
                <w:b/>
                <w:szCs w:val="24"/>
              </w:rPr>
            </w:pPr>
            <w:r>
              <w:rPr>
                <w:rFonts w:eastAsia="標楷體" w:cstheme="minorHAnsi"/>
                <w:b/>
                <w:szCs w:val="24"/>
              </w:rPr>
              <w:t>4</w:t>
            </w:r>
            <w:r w:rsidRPr="00046D1E">
              <w:rPr>
                <w:rFonts w:eastAsia="標楷體" w:cstheme="minorHAnsi"/>
                <w:b/>
                <w:szCs w:val="24"/>
              </w:rPr>
              <w:t>.</w:t>
            </w:r>
            <w:r>
              <w:rPr>
                <w:rFonts w:eastAsia="標楷體" w:cstheme="minorHAnsi" w:hint="eastAsia"/>
                <w:b/>
                <w:szCs w:val="24"/>
              </w:rPr>
              <w:t>4</w:t>
            </w:r>
            <w:r>
              <w:rPr>
                <w:rFonts w:eastAsia="標楷體" w:cstheme="minorHAnsi"/>
                <w:b/>
                <w:szCs w:val="24"/>
              </w:rPr>
              <w:t>.</w:t>
            </w:r>
            <w:r>
              <w:t xml:space="preserve"> </w:t>
            </w:r>
            <w:r w:rsidRPr="005C07A5">
              <w:rPr>
                <w:rFonts w:eastAsia="標楷體" w:cstheme="minorHAnsi"/>
                <w:b/>
                <w:szCs w:val="24"/>
              </w:rPr>
              <w:t>Group Size and Sex of Animals</w:t>
            </w:r>
          </w:p>
        </w:tc>
        <w:tc>
          <w:tcPr>
            <w:tcW w:w="2679" w:type="pct"/>
          </w:tcPr>
          <w:p w:rsidR="005C07A5" w:rsidRDefault="005C07A5" w:rsidP="005C07A5">
            <w:pPr>
              <w:autoSpaceDE w:val="0"/>
              <w:autoSpaceDN w:val="0"/>
              <w:adjustRightInd w:val="0"/>
              <w:snapToGrid w:val="0"/>
              <w:spacing w:before="117" w:line="243" w:lineRule="auto"/>
              <w:jc w:val="both"/>
            </w:pPr>
            <w:r w:rsidRPr="005C07A5">
              <w:t>An appropriate number of animals per sex (as applicable) should be evaluated at each predetermined sampling time point to generate sufficient data that support comprehensive BD assessment (see Section 4.6). General recommendations on the number of animals are presented in Note 1. In keeping with the principles of the 3Rs, the total number of animals can be an aggregate from several studies. Justification should be provided for the numbers of animals evaluated at each time point, as well as the use of combined data from multiple studies, as applicable. Justification should also be provided when only one sex is evaluated.</w:t>
            </w:r>
          </w:p>
        </w:tc>
        <w:tc>
          <w:tcPr>
            <w:tcW w:w="970" w:type="pct"/>
          </w:tcPr>
          <w:p w:rsidR="005C07A5" w:rsidRPr="00B55920" w:rsidRDefault="005C07A5" w:rsidP="005C07A5">
            <w:pPr>
              <w:snapToGrid w:val="0"/>
              <w:spacing w:beforeLines="50" w:before="180" w:afterLines="50" w:after="180" w:line="0" w:lineRule="atLeast"/>
              <w:contextualSpacing/>
              <w:rPr>
                <w:rFonts w:eastAsia="標楷體" w:cstheme="minorHAnsi"/>
                <w:szCs w:val="24"/>
              </w:rPr>
            </w:pPr>
          </w:p>
        </w:tc>
      </w:tr>
      <w:tr w:rsidR="00D23E00" w:rsidRPr="00B55920" w:rsidTr="00EB6C26">
        <w:tc>
          <w:tcPr>
            <w:tcW w:w="262" w:type="pct"/>
          </w:tcPr>
          <w:p w:rsidR="00D23E00" w:rsidRPr="00B55920" w:rsidRDefault="00D23E00" w:rsidP="005C07A5">
            <w:pPr>
              <w:snapToGrid w:val="0"/>
              <w:spacing w:beforeLines="50" w:before="180" w:afterLines="50" w:after="180" w:line="0" w:lineRule="atLeast"/>
              <w:contextualSpacing/>
              <w:jc w:val="center"/>
              <w:rPr>
                <w:rFonts w:eastAsia="標楷體" w:cstheme="minorHAnsi"/>
                <w:szCs w:val="24"/>
              </w:rPr>
            </w:pPr>
          </w:p>
        </w:tc>
        <w:tc>
          <w:tcPr>
            <w:tcW w:w="1089" w:type="pct"/>
          </w:tcPr>
          <w:p w:rsidR="00D23E00" w:rsidRDefault="00D23E00" w:rsidP="005C07A5">
            <w:pPr>
              <w:snapToGrid w:val="0"/>
              <w:spacing w:line="0" w:lineRule="atLeast"/>
              <w:contextualSpacing/>
              <w:rPr>
                <w:rFonts w:eastAsia="標楷體" w:cstheme="minorHAnsi"/>
                <w:b/>
                <w:szCs w:val="24"/>
              </w:rPr>
            </w:pPr>
            <w:r w:rsidRPr="00D23E00">
              <w:rPr>
                <w:rFonts w:eastAsia="標楷體" w:cstheme="minorHAnsi"/>
                <w:b/>
                <w:szCs w:val="24"/>
              </w:rPr>
              <w:t>4.</w:t>
            </w:r>
            <w:r>
              <w:rPr>
                <w:rFonts w:eastAsia="標楷體" w:cstheme="minorHAnsi" w:hint="eastAsia"/>
                <w:b/>
                <w:szCs w:val="24"/>
              </w:rPr>
              <w:t>5</w:t>
            </w:r>
            <w:r w:rsidRPr="00D23E00">
              <w:rPr>
                <w:rFonts w:eastAsia="標楷體" w:cstheme="minorHAnsi"/>
                <w:b/>
                <w:szCs w:val="24"/>
              </w:rPr>
              <w:t>. Route of Administration and Dose Level Selection</w:t>
            </w:r>
          </w:p>
        </w:tc>
        <w:tc>
          <w:tcPr>
            <w:tcW w:w="2679" w:type="pct"/>
          </w:tcPr>
          <w:p w:rsidR="00D23E00" w:rsidRPr="00D23E00" w:rsidRDefault="00D23E00" w:rsidP="00D23E00">
            <w:pPr>
              <w:autoSpaceDE w:val="0"/>
              <w:autoSpaceDN w:val="0"/>
              <w:adjustRightInd w:val="0"/>
              <w:snapToGrid w:val="0"/>
              <w:spacing w:before="117" w:line="243" w:lineRule="auto"/>
              <w:jc w:val="both"/>
            </w:pPr>
            <w:r w:rsidRPr="00D23E00">
              <w:t>The ROA of the GT product can affect the BD profile, including the cell types that are transduced and the immune response. Therefore, the GT product should be administered using the intended clinical ROA, as feasible (see Note 2).</w:t>
            </w:r>
          </w:p>
          <w:p w:rsidR="00D23E00" w:rsidRPr="005C07A5" w:rsidRDefault="00D23E00" w:rsidP="00D23E00">
            <w:pPr>
              <w:autoSpaceDE w:val="0"/>
              <w:autoSpaceDN w:val="0"/>
              <w:adjustRightInd w:val="0"/>
              <w:snapToGrid w:val="0"/>
              <w:spacing w:before="117" w:line="243" w:lineRule="auto"/>
              <w:jc w:val="both"/>
            </w:pPr>
            <w:r w:rsidRPr="00D23E00">
              <w:t>The selected dose levels of the administered GT product should provide adequate characterisation of the BD profile to aid in interpretation of the pharmacology and toxicology</w:t>
            </w:r>
            <w:r>
              <w:rPr>
                <w:rFonts w:hint="eastAsia"/>
              </w:rPr>
              <w:t xml:space="preserve"> </w:t>
            </w:r>
            <w:r w:rsidRPr="00D23E00">
              <w:t>assessments. The highest dose level administered should be the expected maximum dose level in the toxicology studies (usually limited by animal size, ROA/anatomic target, or GT product 100 concentration). However, with appropriate justification, the anticipated maximum clinical dose level can also serve as the highest dose level for BD evaluation.</w:t>
            </w:r>
          </w:p>
        </w:tc>
        <w:tc>
          <w:tcPr>
            <w:tcW w:w="970" w:type="pct"/>
          </w:tcPr>
          <w:p w:rsidR="00D23E00" w:rsidRPr="00B55920" w:rsidRDefault="00D23E00" w:rsidP="005C07A5">
            <w:pPr>
              <w:snapToGrid w:val="0"/>
              <w:spacing w:beforeLines="50" w:before="180" w:afterLines="50" w:after="180" w:line="0" w:lineRule="atLeast"/>
              <w:contextualSpacing/>
              <w:rPr>
                <w:rFonts w:eastAsia="標楷體" w:cstheme="minorHAnsi"/>
                <w:szCs w:val="24"/>
              </w:rPr>
            </w:pPr>
          </w:p>
        </w:tc>
      </w:tr>
      <w:tr w:rsidR="003C6BA1" w:rsidRPr="00B55920" w:rsidTr="00EB6C26">
        <w:tc>
          <w:tcPr>
            <w:tcW w:w="262" w:type="pct"/>
          </w:tcPr>
          <w:p w:rsidR="003C6BA1" w:rsidRPr="00B55920" w:rsidRDefault="003C6BA1" w:rsidP="005C07A5">
            <w:pPr>
              <w:snapToGrid w:val="0"/>
              <w:spacing w:beforeLines="50" w:before="180" w:afterLines="50" w:after="180" w:line="0" w:lineRule="atLeast"/>
              <w:contextualSpacing/>
              <w:jc w:val="center"/>
              <w:rPr>
                <w:rFonts w:eastAsia="標楷體" w:cstheme="minorHAnsi"/>
                <w:szCs w:val="24"/>
              </w:rPr>
            </w:pPr>
          </w:p>
        </w:tc>
        <w:tc>
          <w:tcPr>
            <w:tcW w:w="1089" w:type="pct"/>
          </w:tcPr>
          <w:p w:rsidR="003C6BA1" w:rsidRPr="00D23E00" w:rsidRDefault="003C6BA1" w:rsidP="005C07A5">
            <w:pPr>
              <w:snapToGrid w:val="0"/>
              <w:spacing w:line="0" w:lineRule="atLeast"/>
              <w:contextualSpacing/>
              <w:rPr>
                <w:rFonts w:eastAsia="標楷體" w:cstheme="minorHAnsi"/>
                <w:b/>
                <w:szCs w:val="24"/>
              </w:rPr>
            </w:pPr>
            <w:r w:rsidRPr="00D23E00">
              <w:rPr>
                <w:rFonts w:eastAsia="標楷體" w:cstheme="minorHAnsi"/>
                <w:b/>
                <w:szCs w:val="24"/>
              </w:rPr>
              <w:t>4.</w:t>
            </w:r>
            <w:r>
              <w:rPr>
                <w:rFonts w:eastAsia="標楷體" w:cstheme="minorHAnsi" w:hint="eastAsia"/>
                <w:b/>
                <w:szCs w:val="24"/>
              </w:rPr>
              <w:t>6</w:t>
            </w:r>
            <w:r w:rsidRPr="00D23E00">
              <w:rPr>
                <w:rFonts w:eastAsia="標楷體" w:cstheme="minorHAnsi"/>
                <w:b/>
                <w:szCs w:val="24"/>
              </w:rPr>
              <w:t xml:space="preserve">. </w:t>
            </w:r>
            <w:r w:rsidRPr="003C6BA1">
              <w:rPr>
                <w:rFonts w:eastAsia="標楷體" w:cstheme="minorHAnsi"/>
                <w:b/>
                <w:szCs w:val="24"/>
              </w:rPr>
              <w:t>Sample Collection</w:t>
            </w:r>
          </w:p>
        </w:tc>
        <w:tc>
          <w:tcPr>
            <w:tcW w:w="2679" w:type="pct"/>
          </w:tcPr>
          <w:p w:rsidR="003C6BA1" w:rsidRDefault="003C6BA1" w:rsidP="003C6BA1">
            <w:pPr>
              <w:autoSpaceDE w:val="0"/>
              <w:autoSpaceDN w:val="0"/>
              <w:adjustRightInd w:val="0"/>
              <w:snapToGrid w:val="0"/>
              <w:spacing w:before="117" w:line="243" w:lineRule="auto"/>
              <w:jc w:val="both"/>
            </w:pPr>
            <w:r>
              <w:t xml:space="preserve">The sample collection procedure for target and non-target tissues and biofluids should be designed to </w:t>
            </w:r>
            <w:proofErr w:type="spellStart"/>
            <w:r>
              <w:t>minimise</w:t>
            </w:r>
            <w:proofErr w:type="spellEnd"/>
            <w:r>
              <w:t xml:space="preserve"> the potential for contamination. It is important to follow a pre-specified process that includes appropriate archiving of the samples obtained from each animal (vehicle control and those administered the GT product), as well as documenting the order of sample collection. Sample collection time points should reflect the anticipated time following GT product administration to reach peak, steady-state (i.e., plateau), and declining (if feasible) GT product levels in target and non-target tissues/biofluids. Additional time points can be included, as applicable, to more comprehensively capture the length of the steady-state period and to estimate persistence. Inclusion of time points to permit evaluation of GT product levels after repeat administration should be considered, when applicable.</w:t>
            </w:r>
          </w:p>
          <w:p w:rsidR="003C6BA1" w:rsidRDefault="003C6BA1" w:rsidP="003C6BA1">
            <w:pPr>
              <w:autoSpaceDE w:val="0"/>
              <w:autoSpaceDN w:val="0"/>
              <w:adjustRightInd w:val="0"/>
              <w:snapToGrid w:val="0"/>
              <w:spacing w:before="117" w:line="243" w:lineRule="auto"/>
              <w:jc w:val="both"/>
            </w:pPr>
            <w:r>
              <w:t>For replication competent vectors, sample collection time points should also cover the detection of the second peak level due to vector replication and the subsequent clearance phase.</w:t>
            </w:r>
          </w:p>
          <w:p w:rsidR="003C6BA1" w:rsidRDefault="003C6BA1" w:rsidP="003C6BA1">
            <w:pPr>
              <w:autoSpaceDE w:val="0"/>
              <w:autoSpaceDN w:val="0"/>
              <w:adjustRightInd w:val="0"/>
              <w:snapToGrid w:val="0"/>
              <w:spacing w:before="117" w:line="243" w:lineRule="auto"/>
              <w:jc w:val="both"/>
            </w:pPr>
            <w:r>
              <w:t xml:space="preserve">The collected samples should include the following core panel of tissues/biofluids: blood, injection site(s), gonads, adrenal gland, brain, spinal cord (cervical, thoracic, and lumbar), liver, kidney, lung, heart, and spleen. This core panel can be expanded depending on additional considerations, such as vector type/tropism, expression product, ROA, disease pathophysiology, and animal sex and age. For example, additional tissues/biofluids can include peripheral nerves, dorsal root ganglia, cerebrospinal fluid, vitreous fluid, draining lymph nodes, bone marrow, and/or eyes and optic nerve. The decision as to the final sample collection panel should be </w:t>
            </w:r>
            <w:r>
              <w:lastRenderedPageBreak/>
              <w:t>guided by an understanding of the GT product, the target clinical population, and existing nonclinical data.</w:t>
            </w:r>
          </w:p>
          <w:p w:rsidR="003C6BA1" w:rsidRDefault="003C6BA1" w:rsidP="003C6BA1">
            <w:pPr>
              <w:autoSpaceDE w:val="0"/>
              <w:autoSpaceDN w:val="0"/>
              <w:adjustRightInd w:val="0"/>
              <w:snapToGrid w:val="0"/>
              <w:spacing w:before="117" w:line="243" w:lineRule="auto"/>
              <w:jc w:val="both"/>
            </w:pPr>
            <w:r>
              <w:t xml:space="preserve">In cases where systemic exposure is not anticipated (e.g., sub-retinal administration) or no leakage from the site of administration can be demonstrated, justification for the selection of a specific panel of tissues/biofluids can be provided. </w:t>
            </w:r>
          </w:p>
          <w:p w:rsidR="003C6BA1" w:rsidRPr="00D23E00" w:rsidRDefault="003C6BA1" w:rsidP="003C6BA1">
            <w:pPr>
              <w:autoSpaceDE w:val="0"/>
              <w:autoSpaceDN w:val="0"/>
              <w:adjustRightInd w:val="0"/>
              <w:snapToGrid w:val="0"/>
              <w:spacing w:before="117" w:line="243" w:lineRule="auto"/>
              <w:jc w:val="both"/>
            </w:pPr>
            <w:r>
              <w:t xml:space="preserve">Collected samples can also be </w:t>
            </w:r>
            <w:proofErr w:type="spellStart"/>
            <w:r>
              <w:t>analysed</w:t>
            </w:r>
            <w:proofErr w:type="spellEnd"/>
            <w:r>
              <w:t xml:space="preserve"> for presence of the expression product. Considerations regarding this assessment are provided in Section 5.2.</w:t>
            </w:r>
          </w:p>
        </w:tc>
        <w:tc>
          <w:tcPr>
            <w:tcW w:w="970" w:type="pct"/>
          </w:tcPr>
          <w:p w:rsidR="003C6BA1" w:rsidRPr="00B55920" w:rsidRDefault="003C6BA1" w:rsidP="005C07A5">
            <w:pPr>
              <w:snapToGrid w:val="0"/>
              <w:spacing w:beforeLines="50" w:before="180" w:afterLines="50" w:after="180" w:line="0" w:lineRule="atLeast"/>
              <w:contextualSpacing/>
              <w:rPr>
                <w:rFonts w:eastAsia="標楷體" w:cstheme="minorHAnsi"/>
                <w:szCs w:val="24"/>
              </w:rPr>
            </w:pPr>
          </w:p>
        </w:tc>
      </w:tr>
      <w:tr w:rsidR="005C07A5" w:rsidRPr="00B55920" w:rsidTr="003368A0">
        <w:tc>
          <w:tcPr>
            <w:tcW w:w="4030" w:type="pct"/>
            <w:gridSpan w:val="3"/>
          </w:tcPr>
          <w:p w:rsidR="005C07A5" w:rsidRPr="00046D1E" w:rsidRDefault="004F525E" w:rsidP="005C07A5">
            <w:pPr>
              <w:autoSpaceDE w:val="0"/>
              <w:autoSpaceDN w:val="0"/>
              <w:adjustRightInd w:val="0"/>
              <w:snapToGrid w:val="0"/>
              <w:spacing w:before="178"/>
              <w:ind w:right="5"/>
              <w:jc w:val="both"/>
              <w:rPr>
                <w:rFonts w:eastAsia="Times New Roman"/>
              </w:rPr>
            </w:pPr>
            <w:r>
              <w:rPr>
                <w:rFonts w:eastAsia="標楷體" w:cstheme="minorHAnsi" w:hint="eastAsia"/>
                <w:b/>
                <w:color w:val="FF0000"/>
                <w:sz w:val="28"/>
                <w:szCs w:val="24"/>
              </w:rPr>
              <w:t>5</w:t>
            </w:r>
            <w:r w:rsidR="005C07A5" w:rsidRPr="003368A0">
              <w:rPr>
                <w:rFonts w:eastAsia="標楷體" w:cstheme="minorHAnsi"/>
                <w:b/>
                <w:color w:val="FF0000"/>
                <w:sz w:val="28"/>
                <w:szCs w:val="24"/>
              </w:rPr>
              <w:t xml:space="preserve">. </w:t>
            </w:r>
            <w:r w:rsidRPr="004F525E">
              <w:rPr>
                <w:rFonts w:eastAsia="標楷體" w:cstheme="minorHAnsi"/>
                <w:b/>
                <w:bCs/>
                <w:color w:val="FF0000"/>
                <w:sz w:val="28"/>
                <w:szCs w:val="24"/>
              </w:rPr>
              <w:t>SPECIFIC CONSIDERATIONS</w:t>
            </w:r>
          </w:p>
        </w:tc>
        <w:tc>
          <w:tcPr>
            <w:tcW w:w="970" w:type="pct"/>
          </w:tcPr>
          <w:p w:rsidR="005C07A5" w:rsidRPr="00B55920" w:rsidRDefault="005C07A5" w:rsidP="005C07A5">
            <w:pPr>
              <w:snapToGrid w:val="0"/>
              <w:spacing w:beforeLines="50" w:before="180" w:afterLines="50" w:after="180" w:line="0" w:lineRule="atLeast"/>
              <w:contextualSpacing/>
              <w:rPr>
                <w:rFonts w:eastAsia="標楷體" w:cstheme="minorHAnsi"/>
                <w:szCs w:val="24"/>
              </w:rPr>
            </w:pPr>
          </w:p>
        </w:tc>
      </w:tr>
      <w:tr w:rsidR="00A13174" w:rsidRPr="00B55920" w:rsidTr="00EB6C26">
        <w:tc>
          <w:tcPr>
            <w:tcW w:w="262" w:type="pct"/>
          </w:tcPr>
          <w:p w:rsidR="00A13174" w:rsidRPr="00B55920" w:rsidRDefault="00A13174" w:rsidP="005C07A5">
            <w:pPr>
              <w:snapToGrid w:val="0"/>
              <w:spacing w:beforeLines="50" w:before="180" w:afterLines="50" w:after="180" w:line="0" w:lineRule="atLeast"/>
              <w:contextualSpacing/>
              <w:jc w:val="center"/>
              <w:rPr>
                <w:rFonts w:eastAsia="標楷體" w:cstheme="minorHAnsi"/>
                <w:szCs w:val="24"/>
              </w:rPr>
            </w:pPr>
          </w:p>
        </w:tc>
        <w:tc>
          <w:tcPr>
            <w:tcW w:w="1089" w:type="pct"/>
          </w:tcPr>
          <w:p w:rsidR="00A13174" w:rsidRPr="00046D1E" w:rsidRDefault="00A13174" w:rsidP="005C07A5">
            <w:pPr>
              <w:snapToGrid w:val="0"/>
              <w:spacing w:line="0" w:lineRule="atLeast"/>
              <w:contextualSpacing/>
              <w:rPr>
                <w:rFonts w:eastAsia="標楷體" w:cstheme="minorHAnsi"/>
                <w:b/>
                <w:szCs w:val="24"/>
              </w:rPr>
            </w:pPr>
            <w:r>
              <w:rPr>
                <w:rFonts w:eastAsia="標楷體" w:cstheme="minorHAnsi" w:hint="eastAsia"/>
                <w:b/>
                <w:szCs w:val="24"/>
              </w:rPr>
              <w:t>5</w:t>
            </w:r>
            <w:r w:rsidRPr="00D23E00">
              <w:rPr>
                <w:rFonts w:eastAsia="標楷體" w:cstheme="minorHAnsi"/>
                <w:b/>
                <w:szCs w:val="24"/>
              </w:rPr>
              <w:t>.</w:t>
            </w:r>
            <w:r>
              <w:rPr>
                <w:rFonts w:eastAsia="標楷體" w:cstheme="minorHAnsi" w:hint="eastAsia"/>
                <w:b/>
                <w:szCs w:val="24"/>
              </w:rPr>
              <w:t>1</w:t>
            </w:r>
            <w:r w:rsidRPr="00D23E00">
              <w:rPr>
                <w:rFonts w:eastAsia="標楷體" w:cstheme="minorHAnsi"/>
                <w:b/>
                <w:szCs w:val="24"/>
              </w:rPr>
              <w:t xml:space="preserve">. </w:t>
            </w:r>
            <w:r w:rsidRPr="00A13174">
              <w:rPr>
                <w:rFonts w:eastAsia="標楷體" w:cstheme="minorHAnsi"/>
                <w:b/>
                <w:szCs w:val="24"/>
              </w:rPr>
              <w:t>Assay Methodologies</w:t>
            </w:r>
          </w:p>
        </w:tc>
        <w:tc>
          <w:tcPr>
            <w:tcW w:w="2679" w:type="pct"/>
          </w:tcPr>
          <w:p w:rsidR="00A13174" w:rsidRPr="003368A0" w:rsidRDefault="00A13174" w:rsidP="005C07A5">
            <w:pPr>
              <w:autoSpaceDE w:val="0"/>
              <w:autoSpaceDN w:val="0"/>
              <w:adjustRightInd w:val="0"/>
              <w:snapToGrid w:val="0"/>
              <w:spacing w:before="178"/>
              <w:ind w:right="5"/>
              <w:jc w:val="both"/>
              <w:rPr>
                <w:rFonts w:eastAsia="Times New Roman"/>
              </w:rPr>
            </w:pPr>
            <w:r w:rsidRPr="00A13174">
              <w:rPr>
                <w:rFonts w:eastAsia="Times New Roman"/>
              </w:rPr>
              <w:t>Evaluation of the BD profile necessitates quantitating the amount of genetic material (DNA/RNA) of the GT product in tissues/biofluids and, if appropriate, expression products. Currently, real-time quantitative polymerase chain reaction (qPCR) is considered the ‘gold standard’ for measurement of specific DNA (or, with a reverse transcription step, RNA as well) presence in tissues/biofluids. Quantification of nucleic acid sequences is important for assessing the relative amount of genetic material from a GT product and determining the kinetics of its accumulation or decay. The limit of sensitivity and reproducibility of the quantification method should be established and documented. Spike and recovery experiments, considered part of assay development, should be performed to demonstrate the ability to detect the target sequence</w:t>
            </w:r>
            <w:r w:rsidR="00B16F9D">
              <w:rPr>
                <w:rFonts w:asciiTheme="minorEastAsia" w:hAnsiTheme="minorEastAsia" w:hint="eastAsia"/>
              </w:rPr>
              <w:t xml:space="preserve"> </w:t>
            </w:r>
            <w:r w:rsidRPr="00A13174">
              <w:rPr>
                <w:rFonts w:eastAsia="Times New Roman"/>
              </w:rPr>
              <w:t xml:space="preserve">in different tissues/biofluids. Other techniques can be used in nonclinical studies to monitor BD of a vector and/or the expression products. These include, but are not limited to: enzyme-linked immunosorbent assay (ELISA); immunohistochemistry (IHC); western blot; </w:t>
            </w:r>
            <w:r w:rsidRPr="00A13174">
              <w:rPr>
                <w:rFonts w:eastAsia="Times New Roman"/>
                <w:i/>
                <w:iCs/>
              </w:rPr>
              <w:t>in situ</w:t>
            </w:r>
            <w:r w:rsidRPr="00A13174">
              <w:rPr>
                <w:rFonts w:eastAsia="Times New Roman"/>
              </w:rPr>
              <w:t xml:space="preserve"> </w:t>
            </w:r>
            <w:proofErr w:type="spellStart"/>
            <w:r w:rsidRPr="00A13174">
              <w:rPr>
                <w:rFonts w:eastAsia="Times New Roman"/>
              </w:rPr>
              <w:t>hybridisation</w:t>
            </w:r>
            <w:proofErr w:type="spellEnd"/>
            <w:r w:rsidRPr="00A13174">
              <w:rPr>
                <w:rFonts w:eastAsia="Times New Roman"/>
              </w:rPr>
              <w:t xml:space="preserve"> (ISH); digital PCR; flow cytometry; various </w:t>
            </w:r>
            <w:r w:rsidRPr="00A13174">
              <w:rPr>
                <w:rFonts w:eastAsia="Times New Roman"/>
                <w:i/>
                <w:iCs/>
              </w:rPr>
              <w:t xml:space="preserve">in vivo </w:t>
            </w:r>
            <w:r w:rsidRPr="00A13174">
              <w:rPr>
                <w:rFonts w:eastAsia="Times New Roman"/>
              </w:rPr>
              <w:t xml:space="preserve">and </w:t>
            </w:r>
            <w:r w:rsidRPr="00A13174">
              <w:rPr>
                <w:rFonts w:eastAsia="Times New Roman"/>
                <w:i/>
                <w:iCs/>
              </w:rPr>
              <w:t xml:space="preserve">ex vivo </w:t>
            </w:r>
            <w:r w:rsidRPr="00A13174">
              <w:rPr>
                <w:rFonts w:eastAsia="Times New Roman"/>
              </w:rPr>
              <w:t>imaging techniques; and other evolving technologies. It is important to provide a comprehensive description of the methodology and the justification for the technique used, including the performance parameters of the method.</w:t>
            </w:r>
          </w:p>
        </w:tc>
        <w:tc>
          <w:tcPr>
            <w:tcW w:w="970" w:type="pct"/>
          </w:tcPr>
          <w:p w:rsidR="00A13174" w:rsidRPr="00B55920" w:rsidRDefault="00A13174" w:rsidP="005C07A5">
            <w:pPr>
              <w:snapToGrid w:val="0"/>
              <w:spacing w:beforeLines="50" w:before="180" w:afterLines="50" w:after="180" w:line="0" w:lineRule="atLeast"/>
              <w:contextualSpacing/>
              <w:rPr>
                <w:rFonts w:eastAsia="標楷體" w:cstheme="minorHAnsi"/>
                <w:szCs w:val="24"/>
              </w:rPr>
            </w:pPr>
          </w:p>
        </w:tc>
      </w:tr>
      <w:tr w:rsidR="00AD4CEA" w:rsidRPr="00B55920" w:rsidTr="00EB6C26">
        <w:tc>
          <w:tcPr>
            <w:tcW w:w="262" w:type="pct"/>
          </w:tcPr>
          <w:p w:rsidR="00AD4CEA" w:rsidRPr="00B55920" w:rsidRDefault="00AD4CEA" w:rsidP="005C07A5">
            <w:pPr>
              <w:snapToGrid w:val="0"/>
              <w:spacing w:beforeLines="50" w:before="180" w:afterLines="50" w:after="180" w:line="0" w:lineRule="atLeast"/>
              <w:contextualSpacing/>
              <w:jc w:val="center"/>
              <w:rPr>
                <w:rFonts w:eastAsia="標楷體" w:cstheme="minorHAnsi"/>
                <w:szCs w:val="24"/>
              </w:rPr>
            </w:pPr>
          </w:p>
        </w:tc>
        <w:tc>
          <w:tcPr>
            <w:tcW w:w="1089" w:type="pct"/>
          </w:tcPr>
          <w:p w:rsidR="00AD4CEA" w:rsidRDefault="00AD4CEA" w:rsidP="005C07A5">
            <w:pPr>
              <w:snapToGrid w:val="0"/>
              <w:spacing w:line="0" w:lineRule="atLeast"/>
              <w:contextualSpacing/>
              <w:rPr>
                <w:rFonts w:eastAsia="標楷體" w:cstheme="minorHAnsi" w:hint="eastAsia"/>
                <w:b/>
                <w:szCs w:val="24"/>
              </w:rPr>
            </w:pPr>
            <w:r>
              <w:rPr>
                <w:rFonts w:eastAsia="標楷體" w:cstheme="minorHAnsi" w:hint="eastAsia"/>
                <w:b/>
                <w:szCs w:val="24"/>
              </w:rPr>
              <w:t>5</w:t>
            </w:r>
            <w:r w:rsidRPr="00D23E00">
              <w:rPr>
                <w:rFonts w:eastAsia="標楷體" w:cstheme="minorHAnsi"/>
                <w:b/>
                <w:szCs w:val="24"/>
              </w:rPr>
              <w:t>.</w:t>
            </w:r>
            <w:r>
              <w:rPr>
                <w:rFonts w:eastAsia="標楷體" w:cstheme="minorHAnsi" w:hint="eastAsia"/>
                <w:b/>
                <w:szCs w:val="24"/>
              </w:rPr>
              <w:t>2</w:t>
            </w:r>
            <w:r w:rsidRPr="00D23E00">
              <w:rPr>
                <w:rFonts w:eastAsia="標楷體" w:cstheme="minorHAnsi"/>
                <w:b/>
                <w:szCs w:val="24"/>
              </w:rPr>
              <w:t>.</w:t>
            </w:r>
            <w:r w:rsidRPr="00AD4CEA">
              <w:rPr>
                <w:rFonts w:ascii="Times New Roman" w:hAnsi="Times New Roman" w:cs="Times New Roman"/>
                <w:b/>
                <w:bCs/>
                <w:color w:val="000000"/>
                <w:kern w:val="0"/>
                <w:sz w:val="22"/>
              </w:rPr>
              <w:t xml:space="preserve"> </w:t>
            </w:r>
            <w:r w:rsidRPr="00AD4CEA">
              <w:rPr>
                <w:rFonts w:eastAsia="標楷體" w:cstheme="minorHAnsi"/>
                <w:b/>
                <w:bCs/>
                <w:szCs w:val="24"/>
              </w:rPr>
              <w:t>Measurement of Expression Products</w:t>
            </w:r>
          </w:p>
        </w:tc>
        <w:tc>
          <w:tcPr>
            <w:tcW w:w="2679" w:type="pct"/>
          </w:tcPr>
          <w:p w:rsidR="00AD4CEA" w:rsidRPr="00A13174" w:rsidRDefault="00AD4CEA" w:rsidP="005C07A5">
            <w:pPr>
              <w:autoSpaceDE w:val="0"/>
              <w:autoSpaceDN w:val="0"/>
              <w:adjustRightInd w:val="0"/>
              <w:snapToGrid w:val="0"/>
              <w:spacing w:before="178"/>
              <w:ind w:right="5"/>
              <w:jc w:val="both"/>
              <w:rPr>
                <w:rFonts w:eastAsia="Times New Roman"/>
              </w:rPr>
            </w:pPr>
            <w:r w:rsidRPr="00AD4CEA">
              <w:rPr>
                <w:rFonts w:eastAsia="Times New Roman"/>
              </w:rPr>
              <w:t xml:space="preserve">While quantification of the genetic material of the GT product is the primary BD assessment (see Section 5.1), determination of the level of expression products in different tissues/biofluids can contribute to </w:t>
            </w:r>
            <w:proofErr w:type="spellStart"/>
            <w:r w:rsidRPr="00AD4CEA">
              <w:rPr>
                <w:rFonts w:eastAsia="Times New Roman"/>
              </w:rPr>
              <w:t>characterisation</w:t>
            </w:r>
            <w:proofErr w:type="spellEnd"/>
            <w:r w:rsidRPr="00AD4CEA">
              <w:rPr>
                <w:rFonts w:eastAsia="Times New Roman"/>
              </w:rPr>
              <w:t xml:space="preserve"> of the safety and activity profiles following GT product administration. Decisions regarding the conduct of such assessments should be based on the</w:t>
            </w:r>
            <w:r>
              <w:rPr>
                <w:rFonts w:asciiTheme="minorEastAsia" w:hAnsiTheme="minorEastAsia" w:hint="eastAsia"/>
              </w:rPr>
              <w:t xml:space="preserve"> </w:t>
            </w:r>
            <w:r w:rsidRPr="00AD4CEA">
              <w:rPr>
                <w:rFonts w:eastAsia="Times New Roman"/>
              </w:rPr>
              <w:t xml:space="preserve">extent of nonclinical BD analyses needed for the GT product, which is determined using a risk-based </w:t>
            </w:r>
            <w:r w:rsidRPr="00AD4CEA">
              <w:rPr>
                <w:rFonts w:eastAsia="Times New Roman"/>
              </w:rPr>
              <w:lastRenderedPageBreak/>
              <w:t>approach. This approach can include consideration of the GT product levels and persistence in tissues/biofluids; the target clinical population; and potential safety concerns associated with the vector and/or the expression product.</w:t>
            </w:r>
          </w:p>
        </w:tc>
        <w:tc>
          <w:tcPr>
            <w:tcW w:w="970" w:type="pct"/>
          </w:tcPr>
          <w:p w:rsidR="00AD4CEA" w:rsidRPr="00B55920" w:rsidRDefault="00AD4CEA" w:rsidP="005C07A5">
            <w:pPr>
              <w:snapToGrid w:val="0"/>
              <w:spacing w:beforeLines="50" w:before="180" w:afterLines="50" w:after="180" w:line="0" w:lineRule="atLeast"/>
              <w:contextualSpacing/>
              <w:rPr>
                <w:rFonts w:eastAsia="標楷體" w:cstheme="minorHAnsi"/>
                <w:szCs w:val="24"/>
              </w:rPr>
            </w:pPr>
          </w:p>
        </w:tc>
      </w:tr>
      <w:tr w:rsidR="00202EAC" w:rsidRPr="00B55920" w:rsidTr="00EB6C26">
        <w:tc>
          <w:tcPr>
            <w:tcW w:w="262" w:type="pct"/>
          </w:tcPr>
          <w:p w:rsidR="00202EAC" w:rsidRPr="00B55920" w:rsidRDefault="00202EAC" w:rsidP="005C07A5">
            <w:pPr>
              <w:snapToGrid w:val="0"/>
              <w:spacing w:beforeLines="50" w:before="180" w:afterLines="50" w:after="180" w:line="0" w:lineRule="atLeast"/>
              <w:contextualSpacing/>
              <w:jc w:val="center"/>
              <w:rPr>
                <w:rFonts w:eastAsia="標楷體" w:cstheme="minorHAnsi"/>
                <w:szCs w:val="24"/>
              </w:rPr>
            </w:pPr>
          </w:p>
        </w:tc>
        <w:tc>
          <w:tcPr>
            <w:tcW w:w="1089" w:type="pct"/>
          </w:tcPr>
          <w:p w:rsidR="00202EAC" w:rsidRDefault="00202EAC" w:rsidP="005C07A5">
            <w:pPr>
              <w:snapToGrid w:val="0"/>
              <w:spacing w:line="0" w:lineRule="atLeast"/>
              <w:contextualSpacing/>
              <w:rPr>
                <w:rFonts w:eastAsia="標楷體" w:cstheme="minorHAnsi" w:hint="eastAsia"/>
                <w:b/>
                <w:szCs w:val="24"/>
              </w:rPr>
            </w:pPr>
            <w:r>
              <w:rPr>
                <w:rFonts w:eastAsia="標楷體" w:cstheme="minorHAnsi" w:hint="eastAsia"/>
                <w:b/>
                <w:szCs w:val="24"/>
              </w:rPr>
              <w:t>5</w:t>
            </w:r>
            <w:r w:rsidRPr="00D23E00">
              <w:rPr>
                <w:rFonts w:eastAsia="標楷體" w:cstheme="minorHAnsi"/>
                <w:b/>
                <w:szCs w:val="24"/>
              </w:rPr>
              <w:t>.</w:t>
            </w:r>
            <w:r>
              <w:rPr>
                <w:rFonts w:eastAsia="標楷體" w:cstheme="minorHAnsi" w:hint="eastAsia"/>
                <w:b/>
                <w:szCs w:val="24"/>
              </w:rPr>
              <w:t>3</w:t>
            </w:r>
            <w:r w:rsidRPr="00D23E00">
              <w:rPr>
                <w:rFonts w:eastAsia="標楷體" w:cstheme="minorHAnsi"/>
                <w:b/>
                <w:szCs w:val="24"/>
              </w:rPr>
              <w:t>.</w:t>
            </w:r>
            <w:r w:rsidRPr="00AD4CEA">
              <w:rPr>
                <w:rFonts w:ascii="Times New Roman" w:hAnsi="Times New Roman" w:cs="Times New Roman"/>
                <w:b/>
                <w:bCs/>
                <w:color w:val="000000"/>
                <w:kern w:val="0"/>
                <w:sz w:val="22"/>
              </w:rPr>
              <w:t xml:space="preserve"> </w:t>
            </w:r>
            <w:r w:rsidRPr="00202EAC">
              <w:rPr>
                <w:rFonts w:eastAsia="標楷體" w:cstheme="minorHAnsi"/>
                <w:b/>
                <w:bCs/>
                <w:szCs w:val="24"/>
              </w:rPr>
              <w:t>Nonclinical BD Assessment as a Component of Pharmacology and Toxicology Studies</w:t>
            </w:r>
          </w:p>
        </w:tc>
        <w:tc>
          <w:tcPr>
            <w:tcW w:w="2679" w:type="pct"/>
          </w:tcPr>
          <w:p w:rsidR="00202EAC" w:rsidRPr="00AD4CEA" w:rsidRDefault="00202EAC" w:rsidP="005C07A5">
            <w:pPr>
              <w:autoSpaceDE w:val="0"/>
              <w:autoSpaceDN w:val="0"/>
              <w:adjustRightInd w:val="0"/>
              <w:snapToGrid w:val="0"/>
              <w:spacing w:before="178"/>
              <w:ind w:right="5"/>
              <w:jc w:val="both"/>
              <w:rPr>
                <w:rFonts w:eastAsia="Times New Roman"/>
              </w:rPr>
            </w:pPr>
            <w:r w:rsidRPr="00202EAC">
              <w:rPr>
                <w:rFonts w:eastAsia="Times New Roman"/>
              </w:rPr>
              <w:t>In addition to stand-alone studies, BD assessment can also be performed as part of nonclinical pharmacology and toxicology studies. In such scenarios, BD assessment should follow the recommendations specified in Section 4. In cases where certain recommendations cannot be met in a single study (e.g., number of animals per group or collection of a pre-determined panel of tissues/biofluids from each animal), BD data should be obtained from several studies (see Section 4.4).</w:t>
            </w:r>
          </w:p>
        </w:tc>
        <w:tc>
          <w:tcPr>
            <w:tcW w:w="970" w:type="pct"/>
          </w:tcPr>
          <w:p w:rsidR="00202EAC" w:rsidRPr="00B55920" w:rsidRDefault="00202EAC" w:rsidP="005C07A5">
            <w:pPr>
              <w:snapToGrid w:val="0"/>
              <w:spacing w:beforeLines="50" w:before="180" w:afterLines="50" w:after="180" w:line="0" w:lineRule="atLeast"/>
              <w:contextualSpacing/>
              <w:rPr>
                <w:rFonts w:eastAsia="標楷體" w:cstheme="minorHAnsi"/>
                <w:szCs w:val="24"/>
              </w:rPr>
            </w:pPr>
          </w:p>
        </w:tc>
      </w:tr>
      <w:tr w:rsidR="007949EC" w:rsidRPr="00B55920" w:rsidTr="00EB6C26">
        <w:tc>
          <w:tcPr>
            <w:tcW w:w="262" w:type="pct"/>
          </w:tcPr>
          <w:p w:rsidR="007949EC" w:rsidRPr="00B55920" w:rsidRDefault="007949EC" w:rsidP="005C07A5">
            <w:pPr>
              <w:snapToGrid w:val="0"/>
              <w:spacing w:beforeLines="50" w:before="180" w:afterLines="50" w:after="180" w:line="0" w:lineRule="atLeast"/>
              <w:contextualSpacing/>
              <w:jc w:val="center"/>
              <w:rPr>
                <w:rFonts w:eastAsia="標楷體" w:cstheme="minorHAnsi"/>
                <w:szCs w:val="24"/>
              </w:rPr>
            </w:pPr>
          </w:p>
        </w:tc>
        <w:tc>
          <w:tcPr>
            <w:tcW w:w="1089" w:type="pct"/>
          </w:tcPr>
          <w:p w:rsidR="007949EC" w:rsidRDefault="007949EC" w:rsidP="005C07A5">
            <w:pPr>
              <w:snapToGrid w:val="0"/>
              <w:spacing w:line="0" w:lineRule="atLeast"/>
              <w:contextualSpacing/>
              <w:rPr>
                <w:rFonts w:eastAsia="標楷體" w:cstheme="minorHAnsi" w:hint="eastAsia"/>
                <w:b/>
                <w:szCs w:val="24"/>
              </w:rPr>
            </w:pPr>
            <w:r>
              <w:rPr>
                <w:rFonts w:eastAsia="標楷體" w:cstheme="minorHAnsi" w:hint="eastAsia"/>
                <w:b/>
                <w:szCs w:val="24"/>
              </w:rPr>
              <w:t>5</w:t>
            </w:r>
            <w:r w:rsidRPr="00D23E00">
              <w:rPr>
                <w:rFonts w:eastAsia="標楷體" w:cstheme="minorHAnsi"/>
                <w:b/>
                <w:szCs w:val="24"/>
              </w:rPr>
              <w:t>.</w:t>
            </w:r>
            <w:r>
              <w:rPr>
                <w:rFonts w:eastAsia="標楷體" w:cstheme="minorHAnsi" w:hint="eastAsia"/>
                <w:b/>
                <w:szCs w:val="24"/>
              </w:rPr>
              <w:t>4</w:t>
            </w:r>
            <w:r w:rsidRPr="00D23E00">
              <w:rPr>
                <w:rFonts w:eastAsia="標楷體" w:cstheme="minorHAnsi"/>
                <w:b/>
                <w:szCs w:val="24"/>
              </w:rPr>
              <w:t>.</w:t>
            </w:r>
            <w:r w:rsidRPr="00AD4CEA">
              <w:rPr>
                <w:rFonts w:ascii="Times New Roman" w:hAnsi="Times New Roman" w:cs="Times New Roman"/>
                <w:b/>
                <w:bCs/>
                <w:color w:val="000000"/>
                <w:kern w:val="0"/>
                <w:sz w:val="22"/>
              </w:rPr>
              <w:t xml:space="preserve"> </w:t>
            </w:r>
            <w:r w:rsidRPr="007949EC">
              <w:rPr>
                <w:rFonts w:eastAsia="標楷體" w:cstheme="minorHAnsi"/>
                <w:b/>
                <w:bCs/>
                <w:szCs w:val="24"/>
              </w:rPr>
              <w:t>Immunogenicity</w:t>
            </w:r>
          </w:p>
        </w:tc>
        <w:tc>
          <w:tcPr>
            <w:tcW w:w="2679" w:type="pct"/>
          </w:tcPr>
          <w:p w:rsidR="007949EC" w:rsidRPr="007949EC" w:rsidRDefault="007949EC" w:rsidP="007949EC">
            <w:pPr>
              <w:autoSpaceDE w:val="0"/>
              <w:autoSpaceDN w:val="0"/>
              <w:adjustRightInd w:val="0"/>
              <w:snapToGrid w:val="0"/>
              <w:spacing w:before="178"/>
              <w:ind w:right="5"/>
              <w:jc w:val="both"/>
              <w:rPr>
                <w:rFonts w:eastAsia="Times New Roman"/>
              </w:rPr>
            </w:pPr>
            <w:r w:rsidRPr="007949EC">
              <w:rPr>
                <w:rFonts w:eastAsia="Times New Roman"/>
              </w:rPr>
              <w:t xml:space="preserve">Pre-existing immunity in animals, notably in non-human primates and other non-rodent species, against a GT vector could affect the BD profile. Screening of animals for pre-existing immunity to the vector prior to inclusion in a nonclinical study should be considered. Ideally, selection of animals determined to be negative for pre-existing immunity with appropriate testing is preferred but may not always be feasible. In such situations, it is important that this aspect is factored into the non-biased method used to </w:t>
            </w:r>
            <w:proofErr w:type="spellStart"/>
            <w:r w:rsidRPr="007949EC">
              <w:rPr>
                <w:rFonts w:eastAsia="Times New Roman"/>
              </w:rPr>
              <w:t>randomise</w:t>
            </w:r>
            <w:proofErr w:type="spellEnd"/>
            <w:r w:rsidRPr="007949EC">
              <w:rPr>
                <w:rFonts w:eastAsia="Times New Roman"/>
              </w:rPr>
              <w:t xml:space="preserve"> animals to study groups.</w:t>
            </w:r>
          </w:p>
          <w:p w:rsidR="007949EC" w:rsidRPr="007949EC" w:rsidRDefault="007949EC" w:rsidP="007949EC">
            <w:pPr>
              <w:autoSpaceDE w:val="0"/>
              <w:autoSpaceDN w:val="0"/>
              <w:adjustRightInd w:val="0"/>
              <w:snapToGrid w:val="0"/>
              <w:spacing w:before="178"/>
              <w:ind w:right="5"/>
              <w:jc w:val="both"/>
              <w:rPr>
                <w:rFonts w:eastAsia="Times New Roman"/>
              </w:rPr>
            </w:pPr>
            <w:r w:rsidRPr="007949EC">
              <w:rPr>
                <w:rFonts w:eastAsia="Times New Roman"/>
              </w:rPr>
              <w:t>In certain cases, due to the species-specific nature of the expression product, the animal may mount a cell-mediated or humoral immune response to the expression product. Cell-mediated immune response to the vector may also occur after administration of the GT product. This response may result in a BD profile that is not informative. If such a situation is anticipated, sponsors can consider collection and archiving of appropriate samples for possible</w:t>
            </w:r>
            <w:r w:rsidR="005B5A18">
              <w:rPr>
                <w:rFonts w:asciiTheme="minorEastAsia" w:hAnsiTheme="minorEastAsia" w:hint="eastAsia"/>
              </w:rPr>
              <w:t xml:space="preserve"> </w:t>
            </w:r>
            <w:r w:rsidRPr="007949EC">
              <w:rPr>
                <w:rFonts w:eastAsia="Times New Roman"/>
              </w:rPr>
              <w:t>immunogenicity analysis to support interpretation of the BD data.</w:t>
            </w:r>
          </w:p>
          <w:p w:rsidR="007949EC" w:rsidRPr="00202EAC" w:rsidRDefault="007949EC" w:rsidP="007949EC">
            <w:pPr>
              <w:autoSpaceDE w:val="0"/>
              <w:autoSpaceDN w:val="0"/>
              <w:adjustRightInd w:val="0"/>
              <w:snapToGrid w:val="0"/>
              <w:spacing w:before="178"/>
              <w:ind w:right="5"/>
              <w:jc w:val="both"/>
              <w:rPr>
                <w:rFonts w:eastAsia="Times New Roman"/>
              </w:rPr>
            </w:pPr>
            <w:r w:rsidRPr="007949EC">
              <w:rPr>
                <w:rFonts w:eastAsia="Times New Roman"/>
              </w:rPr>
              <w:t xml:space="preserve">Immunosuppression of animals for the sole purpose of evaluating the BD profile is not recommended. However, if product- or species-specific circumstances </w:t>
            </w:r>
            <w:proofErr w:type="gramStart"/>
            <w:r w:rsidRPr="007949EC">
              <w:rPr>
                <w:rFonts w:eastAsia="Times New Roman"/>
              </w:rPr>
              <w:t>warrant  immunosuppression</w:t>
            </w:r>
            <w:proofErr w:type="gramEnd"/>
            <w:r w:rsidRPr="007949EC">
              <w:rPr>
                <w:rFonts w:eastAsia="Times New Roman"/>
              </w:rPr>
              <w:t>, justification should be provided. Use of a species-specific surrogate transgene can also be considered to circumvent effects of the immune response in some situations.</w:t>
            </w:r>
          </w:p>
        </w:tc>
        <w:tc>
          <w:tcPr>
            <w:tcW w:w="970" w:type="pct"/>
          </w:tcPr>
          <w:p w:rsidR="007949EC" w:rsidRPr="00B55920" w:rsidRDefault="007949EC" w:rsidP="005C07A5">
            <w:pPr>
              <w:snapToGrid w:val="0"/>
              <w:spacing w:beforeLines="50" w:before="180" w:afterLines="50" w:after="180" w:line="0" w:lineRule="atLeast"/>
              <w:contextualSpacing/>
              <w:rPr>
                <w:rFonts w:eastAsia="標楷體" w:cstheme="minorHAnsi"/>
                <w:szCs w:val="24"/>
              </w:rPr>
            </w:pPr>
          </w:p>
        </w:tc>
      </w:tr>
      <w:tr w:rsidR="004767D5" w:rsidRPr="00B55920" w:rsidTr="00EB6C26">
        <w:tc>
          <w:tcPr>
            <w:tcW w:w="262" w:type="pct"/>
          </w:tcPr>
          <w:p w:rsidR="004767D5" w:rsidRPr="00B55920" w:rsidRDefault="004767D5" w:rsidP="005C07A5">
            <w:pPr>
              <w:snapToGrid w:val="0"/>
              <w:spacing w:beforeLines="50" w:before="180" w:afterLines="50" w:after="180" w:line="0" w:lineRule="atLeast"/>
              <w:contextualSpacing/>
              <w:jc w:val="center"/>
              <w:rPr>
                <w:rFonts w:eastAsia="標楷體" w:cstheme="minorHAnsi"/>
                <w:szCs w:val="24"/>
              </w:rPr>
            </w:pPr>
          </w:p>
        </w:tc>
        <w:tc>
          <w:tcPr>
            <w:tcW w:w="1089" w:type="pct"/>
          </w:tcPr>
          <w:p w:rsidR="004767D5" w:rsidRDefault="004767D5" w:rsidP="005C07A5">
            <w:pPr>
              <w:snapToGrid w:val="0"/>
              <w:spacing w:line="0" w:lineRule="atLeast"/>
              <w:contextualSpacing/>
              <w:rPr>
                <w:rFonts w:eastAsia="標楷體" w:cstheme="minorHAnsi" w:hint="eastAsia"/>
                <w:b/>
                <w:szCs w:val="24"/>
              </w:rPr>
            </w:pPr>
            <w:r>
              <w:rPr>
                <w:rFonts w:eastAsia="標楷體" w:cstheme="minorHAnsi" w:hint="eastAsia"/>
                <w:b/>
                <w:szCs w:val="24"/>
              </w:rPr>
              <w:t>5</w:t>
            </w:r>
            <w:r w:rsidRPr="00D23E00">
              <w:rPr>
                <w:rFonts w:eastAsia="標楷體" w:cstheme="minorHAnsi"/>
                <w:b/>
                <w:szCs w:val="24"/>
              </w:rPr>
              <w:t>.</w:t>
            </w:r>
            <w:r>
              <w:rPr>
                <w:rFonts w:eastAsia="標楷體" w:cstheme="minorHAnsi" w:hint="eastAsia"/>
                <w:b/>
                <w:szCs w:val="24"/>
              </w:rPr>
              <w:t>5</w:t>
            </w:r>
            <w:r w:rsidRPr="00D23E00">
              <w:rPr>
                <w:rFonts w:eastAsia="標楷體" w:cstheme="minorHAnsi"/>
                <w:b/>
                <w:szCs w:val="24"/>
              </w:rPr>
              <w:t>.</w:t>
            </w:r>
            <w:r w:rsidRPr="00AD4CEA">
              <w:rPr>
                <w:rFonts w:ascii="Times New Roman" w:hAnsi="Times New Roman" w:cs="Times New Roman"/>
                <w:b/>
                <w:bCs/>
                <w:color w:val="000000"/>
                <w:kern w:val="0"/>
                <w:sz w:val="22"/>
              </w:rPr>
              <w:t xml:space="preserve"> </w:t>
            </w:r>
            <w:r w:rsidR="00237BAC" w:rsidRPr="00237BAC">
              <w:rPr>
                <w:rFonts w:eastAsia="標楷體" w:cstheme="minorHAnsi"/>
                <w:b/>
                <w:bCs/>
                <w:szCs w:val="24"/>
              </w:rPr>
              <w:t>Ex vivo Genetically Modified Cells</w:t>
            </w:r>
          </w:p>
        </w:tc>
        <w:tc>
          <w:tcPr>
            <w:tcW w:w="2679" w:type="pct"/>
          </w:tcPr>
          <w:p w:rsidR="004767D5" w:rsidRPr="007949EC" w:rsidRDefault="00237BAC" w:rsidP="00237BAC">
            <w:pPr>
              <w:autoSpaceDE w:val="0"/>
              <w:autoSpaceDN w:val="0"/>
              <w:adjustRightInd w:val="0"/>
              <w:snapToGrid w:val="0"/>
              <w:spacing w:before="178"/>
              <w:ind w:right="5"/>
              <w:jc w:val="both"/>
              <w:rPr>
                <w:rFonts w:eastAsia="Times New Roman"/>
              </w:rPr>
            </w:pPr>
            <w:r w:rsidRPr="00237BAC">
              <w:rPr>
                <w:rFonts w:eastAsia="Times New Roman"/>
              </w:rPr>
              <w:t xml:space="preserve">Considerations for BD assessment of GT products that consist of </w:t>
            </w:r>
            <w:r w:rsidRPr="00237BAC">
              <w:rPr>
                <w:rFonts w:eastAsia="Times New Roman"/>
                <w:i/>
                <w:iCs/>
              </w:rPr>
              <w:t xml:space="preserve">ex vivo </w:t>
            </w:r>
            <w:r w:rsidRPr="00237BAC">
              <w:rPr>
                <w:rFonts w:eastAsia="Times New Roman"/>
              </w:rPr>
              <w:t xml:space="preserve">genetically modified cells (i.e., cells that are transduced/transfected </w:t>
            </w:r>
            <w:r w:rsidRPr="00237BAC">
              <w:rPr>
                <w:rFonts w:eastAsia="Times New Roman"/>
                <w:i/>
                <w:iCs/>
              </w:rPr>
              <w:t xml:space="preserve">ex vivo </w:t>
            </w:r>
            <w:r w:rsidRPr="00237BAC">
              <w:rPr>
                <w:rFonts w:eastAsia="Times New Roman"/>
              </w:rPr>
              <w:t xml:space="preserve">and then administered to the animal/human subject) should include factors such as the cell type, ROA, and the potential for the expression product or gene modification event </w:t>
            </w:r>
            <w:r w:rsidRPr="00237BAC">
              <w:rPr>
                <w:rFonts w:eastAsia="Times New Roman"/>
              </w:rPr>
              <w:lastRenderedPageBreak/>
              <w:t xml:space="preserve">to affect the expected distribution of the cells within the body (e.g., new or altered expression of cell adhesion molecules). In addition, the occurrence of graft versus host disease in animals can complicate interpretation of BD assessment of genetically modified human T cells. In general, BD assessment of </w:t>
            </w:r>
            <w:r w:rsidRPr="00237BAC">
              <w:rPr>
                <w:rFonts w:eastAsia="Times New Roman"/>
                <w:i/>
                <w:iCs/>
              </w:rPr>
              <w:t>ex vivo</w:t>
            </w:r>
            <w:r w:rsidRPr="00237BAC">
              <w:rPr>
                <w:rFonts w:eastAsia="Times New Roman"/>
              </w:rPr>
              <w:t xml:space="preserve"> genetically modified cells of </w:t>
            </w:r>
            <w:proofErr w:type="spellStart"/>
            <w:r w:rsidRPr="00237BAC">
              <w:rPr>
                <w:rFonts w:eastAsia="Times New Roman"/>
              </w:rPr>
              <w:t>haematopoietic</w:t>
            </w:r>
            <w:proofErr w:type="spellEnd"/>
            <w:r w:rsidRPr="00237BAC">
              <w:rPr>
                <w:rFonts w:eastAsia="Times New Roman"/>
              </w:rPr>
              <w:t xml:space="preserve"> origin is not critical based on expected widespread distribution following systemic administration. If distribution to a target organ(s)/tissue(s) is expected, BD assessment should be considered.</w:t>
            </w:r>
          </w:p>
        </w:tc>
        <w:tc>
          <w:tcPr>
            <w:tcW w:w="970" w:type="pct"/>
          </w:tcPr>
          <w:p w:rsidR="004767D5" w:rsidRPr="00B55920" w:rsidRDefault="004767D5" w:rsidP="005C07A5">
            <w:pPr>
              <w:snapToGrid w:val="0"/>
              <w:spacing w:beforeLines="50" w:before="180" w:afterLines="50" w:after="180" w:line="0" w:lineRule="atLeast"/>
              <w:contextualSpacing/>
              <w:rPr>
                <w:rFonts w:eastAsia="標楷體" w:cstheme="minorHAnsi"/>
                <w:szCs w:val="24"/>
              </w:rPr>
            </w:pPr>
          </w:p>
        </w:tc>
      </w:tr>
      <w:tr w:rsidR="00936A16" w:rsidRPr="00B55920" w:rsidTr="00EB6C26">
        <w:tc>
          <w:tcPr>
            <w:tcW w:w="262" w:type="pct"/>
          </w:tcPr>
          <w:p w:rsidR="00936A16" w:rsidRPr="00B55920" w:rsidRDefault="00936A16" w:rsidP="005C07A5">
            <w:pPr>
              <w:snapToGrid w:val="0"/>
              <w:spacing w:beforeLines="50" w:before="180" w:afterLines="50" w:after="180" w:line="0" w:lineRule="atLeast"/>
              <w:contextualSpacing/>
              <w:jc w:val="center"/>
              <w:rPr>
                <w:rFonts w:eastAsia="標楷體" w:cstheme="minorHAnsi"/>
                <w:szCs w:val="24"/>
              </w:rPr>
            </w:pPr>
          </w:p>
        </w:tc>
        <w:tc>
          <w:tcPr>
            <w:tcW w:w="1089" w:type="pct"/>
          </w:tcPr>
          <w:p w:rsidR="00936A16" w:rsidRDefault="00936A16" w:rsidP="005C07A5">
            <w:pPr>
              <w:snapToGrid w:val="0"/>
              <w:spacing w:line="0" w:lineRule="atLeast"/>
              <w:contextualSpacing/>
              <w:rPr>
                <w:rFonts w:eastAsia="標楷體" w:cstheme="minorHAnsi" w:hint="eastAsia"/>
                <w:b/>
                <w:szCs w:val="24"/>
              </w:rPr>
            </w:pPr>
            <w:r w:rsidRPr="00936A16">
              <w:rPr>
                <w:rFonts w:eastAsia="標楷體" w:cstheme="minorHAnsi"/>
                <w:b/>
                <w:szCs w:val="24"/>
              </w:rPr>
              <w:t>5.</w:t>
            </w:r>
            <w:r>
              <w:rPr>
                <w:rFonts w:eastAsia="標楷體" w:cstheme="minorHAnsi" w:hint="eastAsia"/>
                <w:b/>
                <w:szCs w:val="24"/>
              </w:rPr>
              <w:t>6</w:t>
            </w:r>
            <w:r w:rsidRPr="00936A16">
              <w:rPr>
                <w:rFonts w:eastAsia="標楷體" w:cstheme="minorHAnsi"/>
                <w:b/>
                <w:szCs w:val="24"/>
              </w:rPr>
              <w:t>. BD Assessment in Gonadal Tissues</w:t>
            </w:r>
          </w:p>
        </w:tc>
        <w:tc>
          <w:tcPr>
            <w:tcW w:w="2679" w:type="pct"/>
          </w:tcPr>
          <w:p w:rsidR="00936A16" w:rsidRPr="00237BAC" w:rsidRDefault="00F73BF1" w:rsidP="00237BAC">
            <w:pPr>
              <w:autoSpaceDE w:val="0"/>
              <w:autoSpaceDN w:val="0"/>
              <w:adjustRightInd w:val="0"/>
              <w:snapToGrid w:val="0"/>
              <w:spacing w:before="178"/>
              <w:ind w:right="5"/>
              <w:jc w:val="both"/>
              <w:rPr>
                <w:rFonts w:eastAsia="Times New Roman"/>
              </w:rPr>
            </w:pPr>
            <w:r w:rsidRPr="00F73BF1">
              <w:rPr>
                <w:rFonts w:eastAsia="Times New Roman"/>
              </w:rPr>
              <w:t>It is important to conduct BD assessment of the administered GT product in the gonads for both sexes unless the target clinical population is restricted to one sex (e.g., for the treatment of prostate cancer). If the vector or the transferred genetic material signal does not indicate persistence by an appropriate analytical method (see Sections 4.6 and 5.1), further evaluation may not be necessary. Persistent presence of GT product in gonads can lead to additional studies to determine GT product levels in germ cells (e.g., oocytes, sperm) in the animals. These data, as well as other factors (vector type, replication capacity, integration potential, dose level, ROA, etc.) can inform the risk of inadvertent germline integration. Refer to ICH Considerations document (1) for a more comprehensive discussion on this issue. GT product detection in non- germline cells (e.g., leukocytes, Sertoli cells, Leydig cells) can warrant additional consideration of the function of the affected non-germline cells, particularly if the cell type is important to successful reproduction.</w:t>
            </w:r>
          </w:p>
        </w:tc>
        <w:tc>
          <w:tcPr>
            <w:tcW w:w="970" w:type="pct"/>
          </w:tcPr>
          <w:p w:rsidR="00936A16" w:rsidRPr="00B55920" w:rsidRDefault="00936A16" w:rsidP="005C07A5">
            <w:pPr>
              <w:snapToGrid w:val="0"/>
              <w:spacing w:beforeLines="50" w:before="180" w:afterLines="50" w:after="180" w:line="0" w:lineRule="atLeast"/>
              <w:contextualSpacing/>
              <w:rPr>
                <w:rFonts w:eastAsia="標楷體" w:cstheme="minorHAnsi"/>
                <w:szCs w:val="24"/>
              </w:rPr>
            </w:pPr>
          </w:p>
        </w:tc>
      </w:tr>
      <w:tr w:rsidR="005C07A5" w:rsidRPr="00B55920" w:rsidTr="00EB6C26">
        <w:tc>
          <w:tcPr>
            <w:tcW w:w="262" w:type="pct"/>
          </w:tcPr>
          <w:p w:rsidR="005C07A5" w:rsidRPr="00B55920" w:rsidRDefault="005C07A5" w:rsidP="005C07A5">
            <w:pPr>
              <w:snapToGrid w:val="0"/>
              <w:spacing w:beforeLines="50" w:before="180" w:afterLines="50" w:after="180" w:line="0" w:lineRule="atLeast"/>
              <w:contextualSpacing/>
              <w:jc w:val="center"/>
              <w:rPr>
                <w:rFonts w:eastAsia="標楷體" w:cstheme="minorHAnsi"/>
                <w:szCs w:val="24"/>
              </w:rPr>
            </w:pPr>
          </w:p>
        </w:tc>
        <w:tc>
          <w:tcPr>
            <w:tcW w:w="1089" w:type="pct"/>
          </w:tcPr>
          <w:p w:rsidR="005C07A5" w:rsidRPr="00046D1E" w:rsidRDefault="00A00964" w:rsidP="005C07A5">
            <w:pPr>
              <w:snapToGrid w:val="0"/>
              <w:spacing w:line="0" w:lineRule="atLeast"/>
              <w:contextualSpacing/>
              <w:rPr>
                <w:rFonts w:eastAsia="標楷體" w:cstheme="minorHAnsi"/>
                <w:b/>
                <w:szCs w:val="24"/>
              </w:rPr>
            </w:pPr>
            <w:r w:rsidRPr="00A00964">
              <w:rPr>
                <w:rFonts w:eastAsia="標楷體" w:cstheme="minorHAnsi"/>
                <w:b/>
                <w:szCs w:val="24"/>
              </w:rPr>
              <w:t>5.7. Triggers for Additional Nonclinical BD Studies</w:t>
            </w:r>
          </w:p>
        </w:tc>
        <w:tc>
          <w:tcPr>
            <w:tcW w:w="2679" w:type="pct"/>
          </w:tcPr>
          <w:p w:rsidR="005C07A5" w:rsidRDefault="003C4734" w:rsidP="005C07A5">
            <w:pPr>
              <w:autoSpaceDE w:val="0"/>
              <w:autoSpaceDN w:val="0"/>
              <w:adjustRightInd w:val="0"/>
              <w:snapToGrid w:val="0"/>
              <w:spacing w:before="178"/>
              <w:ind w:right="5"/>
              <w:jc w:val="both"/>
              <w:rPr>
                <w:rFonts w:eastAsia="Times New Roman"/>
              </w:rPr>
            </w:pPr>
            <w:r w:rsidRPr="003C4734">
              <w:rPr>
                <w:rFonts w:eastAsia="Times New Roman"/>
              </w:rPr>
              <w:t>Although nonclinical BD assessment for a GT product is determined prior to a first-in-human clinical trial, various circumstances may elicit the conduct of additional studies for BD assessment. Examples of possible scenarios are provided below:</w:t>
            </w:r>
          </w:p>
          <w:p w:rsidR="003C4734" w:rsidRDefault="003C4734" w:rsidP="003C4734">
            <w:pPr>
              <w:pStyle w:val="a8"/>
              <w:numPr>
                <w:ilvl w:val="0"/>
                <w:numId w:val="39"/>
              </w:numPr>
              <w:autoSpaceDE w:val="0"/>
              <w:autoSpaceDN w:val="0"/>
              <w:adjustRightInd w:val="0"/>
              <w:snapToGrid w:val="0"/>
              <w:spacing w:before="178"/>
              <w:ind w:leftChars="0" w:right="5"/>
              <w:jc w:val="both"/>
            </w:pPr>
            <w:r>
              <w:rPr>
                <w:rFonts w:hint="eastAsia"/>
              </w:rPr>
              <w:t xml:space="preserve">A significant change in the clinical development </w:t>
            </w:r>
            <w:proofErr w:type="spellStart"/>
            <w:r>
              <w:rPr>
                <w:rFonts w:hint="eastAsia"/>
              </w:rPr>
              <w:t>programme</w:t>
            </w:r>
            <w:proofErr w:type="spellEnd"/>
            <w:r>
              <w:rPr>
                <w:rFonts w:hint="eastAsia"/>
              </w:rPr>
              <w:t>, such as: a change in the ROA; an increase in the GT product dose level that significantly exceeds the maximum nonclinical dose level tested; changes in the dosing regimen; and inclus</w:t>
            </w:r>
            <w:r>
              <w:t>ion of another clinical indication that includes both sexes instead of the</w:t>
            </w:r>
            <w:r>
              <w:rPr>
                <w:rFonts w:hint="eastAsia"/>
              </w:rPr>
              <w:t xml:space="preserve"> </w:t>
            </w:r>
            <w:r>
              <w:t>originally-proposed single sex. Additional BD assessment can be incorporated into any additional pharmacology and/or toxicology studies that are performed.</w:t>
            </w:r>
          </w:p>
          <w:p w:rsidR="003C4734" w:rsidRDefault="003C4734" w:rsidP="003C4734">
            <w:pPr>
              <w:pStyle w:val="a8"/>
              <w:numPr>
                <w:ilvl w:val="0"/>
                <w:numId w:val="39"/>
              </w:numPr>
              <w:autoSpaceDE w:val="0"/>
              <w:autoSpaceDN w:val="0"/>
              <w:adjustRightInd w:val="0"/>
              <w:snapToGrid w:val="0"/>
              <w:spacing w:before="178"/>
              <w:ind w:leftChars="0" w:right="5"/>
              <w:jc w:val="both"/>
            </w:pPr>
            <w:r>
              <w:t>A significant change in the vector structure or serotype, and any other modifications that may result in changes in tropism.</w:t>
            </w:r>
          </w:p>
          <w:p w:rsidR="003C4734" w:rsidRPr="003C4734" w:rsidRDefault="003C4734" w:rsidP="003C4734">
            <w:pPr>
              <w:pStyle w:val="a8"/>
              <w:numPr>
                <w:ilvl w:val="0"/>
                <w:numId w:val="39"/>
              </w:numPr>
              <w:autoSpaceDE w:val="0"/>
              <w:autoSpaceDN w:val="0"/>
              <w:adjustRightInd w:val="0"/>
              <w:snapToGrid w:val="0"/>
              <w:spacing w:before="178"/>
              <w:ind w:leftChars="0" w:right="5"/>
              <w:jc w:val="both"/>
              <w:rPr>
                <w:rFonts w:hint="eastAsia"/>
              </w:rPr>
            </w:pPr>
            <w:r>
              <w:rPr>
                <w:rFonts w:hint="eastAsia"/>
              </w:rPr>
              <w:lastRenderedPageBreak/>
              <w:t>Changes in the manufacturing process that can affect the final GT product formulation (e.g., addition of excipients that could alter vector tropism) or relevant quality attributes of the GT product (e.g., empty to full capsid ratios, in vitro</w:t>
            </w:r>
            <w:r>
              <w:t xml:space="preserve"> gene transfer activity, product </w:t>
            </w:r>
            <w:proofErr w:type="spellStart"/>
            <w:r>
              <w:t>titre</w:t>
            </w:r>
            <w:proofErr w:type="spellEnd"/>
            <w:r>
              <w:t>). Other factors to consider about manufacturing changes include vector particle size; aggregation state; antigenicity; and potential interaction with other host components (e.g., serum factors).</w:t>
            </w:r>
          </w:p>
        </w:tc>
        <w:tc>
          <w:tcPr>
            <w:tcW w:w="970" w:type="pct"/>
          </w:tcPr>
          <w:p w:rsidR="005C07A5" w:rsidRPr="00B55920" w:rsidRDefault="005C07A5" w:rsidP="005C07A5">
            <w:pPr>
              <w:snapToGrid w:val="0"/>
              <w:spacing w:beforeLines="50" w:before="180" w:afterLines="50" w:after="180" w:line="0" w:lineRule="atLeast"/>
              <w:contextualSpacing/>
              <w:rPr>
                <w:rFonts w:eastAsia="標楷體" w:cstheme="minorHAnsi"/>
                <w:szCs w:val="24"/>
              </w:rPr>
            </w:pPr>
          </w:p>
        </w:tc>
      </w:tr>
      <w:tr w:rsidR="00AE36BE" w:rsidRPr="00B55920" w:rsidTr="00EB6C26">
        <w:tc>
          <w:tcPr>
            <w:tcW w:w="262" w:type="pct"/>
          </w:tcPr>
          <w:p w:rsidR="00AE36BE" w:rsidRPr="00B55920" w:rsidRDefault="00AE36BE" w:rsidP="005C07A5">
            <w:pPr>
              <w:snapToGrid w:val="0"/>
              <w:spacing w:beforeLines="50" w:before="180" w:afterLines="50" w:after="180" w:line="0" w:lineRule="atLeast"/>
              <w:contextualSpacing/>
              <w:jc w:val="center"/>
              <w:rPr>
                <w:rFonts w:eastAsia="標楷體" w:cstheme="minorHAnsi"/>
                <w:szCs w:val="24"/>
              </w:rPr>
            </w:pPr>
          </w:p>
        </w:tc>
        <w:tc>
          <w:tcPr>
            <w:tcW w:w="1089" w:type="pct"/>
          </w:tcPr>
          <w:p w:rsidR="00AE36BE" w:rsidRPr="00A00964" w:rsidRDefault="00AE36BE" w:rsidP="005C07A5">
            <w:pPr>
              <w:snapToGrid w:val="0"/>
              <w:spacing w:line="0" w:lineRule="atLeast"/>
              <w:contextualSpacing/>
              <w:rPr>
                <w:rFonts w:eastAsia="標楷體" w:cstheme="minorHAnsi"/>
                <w:b/>
                <w:szCs w:val="24"/>
              </w:rPr>
            </w:pPr>
            <w:r w:rsidRPr="00AE36BE">
              <w:rPr>
                <w:rFonts w:eastAsia="標楷體" w:cstheme="minorHAnsi"/>
                <w:b/>
                <w:szCs w:val="24"/>
              </w:rPr>
              <w:t>5.</w:t>
            </w:r>
            <w:r>
              <w:rPr>
                <w:rFonts w:eastAsia="標楷體" w:cstheme="minorHAnsi" w:hint="eastAsia"/>
                <w:b/>
                <w:szCs w:val="24"/>
              </w:rPr>
              <w:t>8</w:t>
            </w:r>
            <w:r w:rsidRPr="00AE36BE">
              <w:rPr>
                <w:rFonts w:eastAsia="標楷體" w:cstheme="minorHAnsi"/>
                <w:b/>
                <w:szCs w:val="24"/>
              </w:rPr>
              <w:t>. Circumstances when Nonclinical BD Studies may not be Needed or are not Feasible</w:t>
            </w:r>
          </w:p>
        </w:tc>
        <w:tc>
          <w:tcPr>
            <w:tcW w:w="2679" w:type="pct"/>
          </w:tcPr>
          <w:p w:rsidR="00AE36BE" w:rsidRPr="00AE36BE" w:rsidRDefault="00AE36BE" w:rsidP="00AE36BE">
            <w:pPr>
              <w:autoSpaceDE w:val="0"/>
              <w:autoSpaceDN w:val="0"/>
              <w:adjustRightInd w:val="0"/>
              <w:snapToGrid w:val="0"/>
              <w:spacing w:before="178"/>
              <w:ind w:right="5"/>
              <w:jc w:val="both"/>
              <w:rPr>
                <w:rFonts w:eastAsia="Times New Roman"/>
              </w:rPr>
            </w:pPr>
            <w:r w:rsidRPr="00AE36BE">
              <w:rPr>
                <w:rFonts w:eastAsia="Times New Roman"/>
              </w:rPr>
              <w:t xml:space="preserve">Existing BD data obtained from nonclinical studies conducted with the same GT product in support of a different clinical indication can potentially suffice for a new clinical population. However, considerations such as the dose level(s), dosing regimen, ROA, and change in promotor will factor into this decision. BD data obtained with a previously </w:t>
            </w:r>
            <w:proofErr w:type="spellStart"/>
            <w:r w:rsidRPr="00AE36BE">
              <w:rPr>
                <w:rFonts w:eastAsia="Times New Roman"/>
              </w:rPr>
              <w:t>characterised</w:t>
            </w:r>
            <w:proofErr w:type="spellEnd"/>
            <w:r w:rsidRPr="00AE36BE">
              <w:rPr>
                <w:rFonts w:eastAsia="Times New Roman"/>
              </w:rPr>
              <w:t xml:space="preserve"> GT product that has the same vector structure and other characteristics that determine its tissue/cell tropism, but a different transcribed/translated product, can also potentially support waiving an additional nonclinical BD study. Justification should be provided for this approach.</w:t>
            </w:r>
          </w:p>
          <w:p w:rsidR="00AE36BE" w:rsidRPr="003C4734" w:rsidRDefault="00AE36BE" w:rsidP="00AE36BE">
            <w:pPr>
              <w:autoSpaceDE w:val="0"/>
              <w:autoSpaceDN w:val="0"/>
              <w:adjustRightInd w:val="0"/>
              <w:snapToGrid w:val="0"/>
              <w:spacing w:before="178"/>
              <w:ind w:right="5"/>
              <w:jc w:val="both"/>
              <w:rPr>
                <w:rFonts w:eastAsia="Times New Roman"/>
              </w:rPr>
            </w:pPr>
            <w:r w:rsidRPr="00AE36BE">
              <w:rPr>
                <w:rFonts w:eastAsia="Times New Roman"/>
              </w:rPr>
              <w:t>In some cases, a biologically relevant animal species that can inform the BD profile in the clinical population does not exist. For example, when the vector binds to the target molecule on human cells but this target is absent on animal cells. In such circumstances, it is important to provide a comprehensive discussion of the issue and justification to support an alternative approach to evaluation of nonclinical BD.</w:t>
            </w:r>
          </w:p>
        </w:tc>
        <w:tc>
          <w:tcPr>
            <w:tcW w:w="970" w:type="pct"/>
          </w:tcPr>
          <w:p w:rsidR="00AE36BE" w:rsidRPr="00B55920" w:rsidRDefault="00AE36BE" w:rsidP="005C07A5">
            <w:pPr>
              <w:snapToGrid w:val="0"/>
              <w:spacing w:beforeLines="50" w:before="180" w:afterLines="50" w:after="180" w:line="0" w:lineRule="atLeast"/>
              <w:contextualSpacing/>
              <w:rPr>
                <w:rFonts w:eastAsia="標楷體" w:cstheme="minorHAnsi"/>
                <w:szCs w:val="24"/>
              </w:rPr>
            </w:pPr>
          </w:p>
        </w:tc>
      </w:tr>
      <w:tr w:rsidR="00843CE1" w:rsidRPr="00B55920" w:rsidTr="00843CE1">
        <w:tc>
          <w:tcPr>
            <w:tcW w:w="5000" w:type="pct"/>
            <w:gridSpan w:val="4"/>
          </w:tcPr>
          <w:p w:rsidR="00843CE1" w:rsidRPr="00843CE1" w:rsidRDefault="000A70E0" w:rsidP="000A70E0">
            <w:pPr>
              <w:autoSpaceDE w:val="0"/>
              <w:autoSpaceDN w:val="0"/>
              <w:adjustRightInd w:val="0"/>
              <w:snapToGrid w:val="0"/>
              <w:spacing w:before="178"/>
              <w:ind w:right="5"/>
              <w:jc w:val="both"/>
              <w:rPr>
                <w:rFonts w:eastAsia="標楷體" w:cstheme="minorHAnsi"/>
                <w:b/>
                <w:color w:val="FF0000"/>
                <w:sz w:val="28"/>
                <w:szCs w:val="24"/>
              </w:rPr>
            </w:pPr>
            <w:r>
              <w:rPr>
                <w:rFonts w:eastAsia="標楷體" w:cstheme="minorHAnsi" w:hint="eastAsia"/>
                <w:b/>
                <w:color w:val="FF0000"/>
                <w:sz w:val="28"/>
                <w:szCs w:val="24"/>
              </w:rPr>
              <w:t>6</w:t>
            </w:r>
            <w:r w:rsidR="00843CE1" w:rsidRPr="00843CE1">
              <w:rPr>
                <w:rFonts w:eastAsia="標楷體" w:cstheme="minorHAnsi"/>
                <w:b/>
                <w:color w:val="FF0000"/>
                <w:sz w:val="28"/>
                <w:szCs w:val="24"/>
              </w:rPr>
              <w:t xml:space="preserve">. </w:t>
            </w:r>
            <w:r w:rsidRPr="000A70E0">
              <w:rPr>
                <w:rFonts w:eastAsia="標楷體" w:cstheme="minorHAnsi"/>
                <w:b/>
                <w:bCs/>
                <w:color w:val="FF0000"/>
                <w:sz w:val="28"/>
                <w:szCs w:val="24"/>
              </w:rPr>
              <w:t>APPLICATION OF NONCLINICAL BD STUDIES</w:t>
            </w:r>
          </w:p>
        </w:tc>
      </w:tr>
      <w:tr w:rsidR="00843CE1" w:rsidRPr="00B55920" w:rsidTr="00EB6C26">
        <w:tc>
          <w:tcPr>
            <w:tcW w:w="262" w:type="pct"/>
          </w:tcPr>
          <w:p w:rsidR="00843CE1" w:rsidRPr="00B55920" w:rsidRDefault="00843CE1" w:rsidP="005C07A5">
            <w:pPr>
              <w:snapToGrid w:val="0"/>
              <w:spacing w:beforeLines="50" w:before="180" w:afterLines="50" w:after="180" w:line="0" w:lineRule="atLeast"/>
              <w:contextualSpacing/>
              <w:jc w:val="center"/>
              <w:rPr>
                <w:rFonts w:eastAsia="標楷體" w:cstheme="minorHAnsi"/>
                <w:szCs w:val="24"/>
              </w:rPr>
            </w:pPr>
          </w:p>
        </w:tc>
        <w:tc>
          <w:tcPr>
            <w:tcW w:w="1089" w:type="pct"/>
          </w:tcPr>
          <w:p w:rsidR="00843CE1" w:rsidRPr="00AE36BE" w:rsidRDefault="00843CE1" w:rsidP="005C07A5">
            <w:pPr>
              <w:snapToGrid w:val="0"/>
              <w:spacing w:line="0" w:lineRule="atLeast"/>
              <w:contextualSpacing/>
              <w:rPr>
                <w:rFonts w:eastAsia="標楷體" w:cstheme="minorHAnsi"/>
                <w:b/>
                <w:szCs w:val="24"/>
              </w:rPr>
            </w:pPr>
          </w:p>
        </w:tc>
        <w:tc>
          <w:tcPr>
            <w:tcW w:w="2679" w:type="pct"/>
          </w:tcPr>
          <w:p w:rsidR="00843CE1" w:rsidRPr="00AE36BE" w:rsidRDefault="000A70E0" w:rsidP="00AE36BE">
            <w:pPr>
              <w:autoSpaceDE w:val="0"/>
              <w:autoSpaceDN w:val="0"/>
              <w:adjustRightInd w:val="0"/>
              <w:snapToGrid w:val="0"/>
              <w:spacing w:before="178"/>
              <w:ind w:right="5"/>
              <w:jc w:val="both"/>
              <w:rPr>
                <w:rFonts w:eastAsia="Times New Roman"/>
              </w:rPr>
            </w:pPr>
            <w:proofErr w:type="spellStart"/>
            <w:r w:rsidRPr="000A70E0">
              <w:rPr>
                <w:rFonts w:eastAsia="Times New Roman"/>
              </w:rPr>
              <w:t>Characterisation</w:t>
            </w:r>
            <w:proofErr w:type="spellEnd"/>
            <w:r w:rsidRPr="000A70E0">
              <w:rPr>
                <w:rFonts w:eastAsia="Times New Roman"/>
              </w:rPr>
              <w:t xml:space="preserve"> of the BD profile following administration of a GT product in animals is a critical component of a nonclinical development </w:t>
            </w:r>
            <w:proofErr w:type="spellStart"/>
            <w:r w:rsidRPr="000A70E0">
              <w:rPr>
                <w:rFonts w:eastAsia="Times New Roman"/>
              </w:rPr>
              <w:t>programme</w:t>
            </w:r>
            <w:proofErr w:type="spellEnd"/>
            <w:r w:rsidRPr="000A70E0">
              <w:rPr>
                <w:rFonts w:eastAsia="Times New Roman"/>
              </w:rPr>
              <w:t xml:space="preserve">. The nonclinical BD data contribute to the overall interpretation of the study findings to enable a better understanding of the relationship of various findings (desired and undesired) to the administered GT product. Attribution of findings observed in the dosed animals to the genetic material (DNA/RNA) and/or to the expression product factor into ascertaining a potential benefit: risk profile of the GT product before administration in humans. It is important to consider the relevancy of the BD data to the clinical population based on factors such as the ROA, dose level(s), dosing regimen, and animal immune response. These data can also inform elements of a first-in-human trial and subsequent clinical trials, such as the dosing procedure (i.e., </w:t>
            </w:r>
            <w:r w:rsidRPr="000A70E0">
              <w:rPr>
                <w:rFonts w:eastAsia="Times New Roman"/>
              </w:rPr>
              <w:lastRenderedPageBreak/>
              <w:t>dosing intervals between subjects), the monitoring plan, and long-term follow-up assessment.</w:t>
            </w:r>
          </w:p>
        </w:tc>
        <w:tc>
          <w:tcPr>
            <w:tcW w:w="970" w:type="pct"/>
          </w:tcPr>
          <w:p w:rsidR="00843CE1" w:rsidRPr="00B55920" w:rsidRDefault="00843CE1" w:rsidP="005C07A5">
            <w:pPr>
              <w:snapToGrid w:val="0"/>
              <w:spacing w:beforeLines="50" w:before="180" w:afterLines="50" w:after="180" w:line="0" w:lineRule="atLeast"/>
              <w:contextualSpacing/>
              <w:rPr>
                <w:rFonts w:eastAsia="標楷體" w:cstheme="minorHAnsi"/>
                <w:szCs w:val="24"/>
              </w:rPr>
            </w:pPr>
          </w:p>
        </w:tc>
      </w:tr>
      <w:tr w:rsidR="006E6AD3" w:rsidRPr="00B55920" w:rsidTr="006E6AD3">
        <w:tc>
          <w:tcPr>
            <w:tcW w:w="5000" w:type="pct"/>
            <w:gridSpan w:val="4"/>
          </w:tcPr>
          <w:p w:rsidR="006E6AD3" w:rsidRPr="00B55920" w:rsidRDefault="006E6AD3" w:rsidP="006E6AD3">
            <w:pPr>
              <w:autoSpaceDE w:val="0"/>
              <w:autoSpaceDN w:val="0"/>
              <w:adjustRightInd w:val="0"/>
              <w:snapToGrid w:val="0"/>
              <w:spacing w:before="178"/>
              <w:ind w:right="5"/>
              <w:jc w:val="both"/>
              <w:rPr>
                <w:rFonts w:eastAsia="標楷體" w:cstheme="minorHAnsi"/>
                <w:szCs w:val="24"/>
              </w:rPr>
            </w:pPr>
            <w:r w:rsidRPr="006E6AD3">
              <w:rPr>
                <w:rFonts w:eastAsia="標楷體" w:cstheme="minorHAnsi"/>
                <w:b/>
                <w:color w:val="FF0000"/>
                <w:sz w:val="28"/>
                <w:szCs w:val="24"/>
              </w:rPr>
              <w:t>NOTES</w:t>
            </w:r>
          </w:p>
        </w:tc>
      </w:tr>
      <w:tr w:rsidR="006E6AD3" w:rsidRPr="00B55920" w:rsidTr="00EB6C26">
        <w:tc>
          <w:tcPr>
            <w:tcW w:w="262" w:type="pct"/>
          </w:tcPr>
          <w:p w:rsidR="006E6AD3" w:rsidRPr="00B55920" w:rsidRDefault="006E6AD3" w:rsidP="005C07A5">
            <w:pPr>
              <w:snapToGrid w:val="0"/>
              <w:spacing w:beforeLines="50" w:before="180" w:afterLines="50" w:after="180" w:line="0" w:lineRule="atLeast"/>
              <w:contextualSpacing/>
              <w:jc w:val="center"/>
              <w:rPr>
                <w:rFonts w:eastAsia="標楷體" w:cstheme="minorHAnsi"/>
                <w:szCs w:val="24"/>
              </w:rPr>
            </w:pPr>
          </w:p>
        </w:tc>
        <w:tc>
          <w:tcPr>
            <w:tcW w:w="1089" w:type="pct"/>
          </w:tcPr>
          <w:p w:rsidR="006E6AD3" w:rsidRPr="00AE36BE" w:rsidRDefault="006E6AD3" w:rsidP="005C07A5">
            <w:pPr>
              <w:snapToGrid w:val="0"/>
              <w:spacing w:line="0" w:lineRule="atLeast"/>
              <w:contextualSpacing/>
              <w:rPr>
                <w:rFonts w:eastAsia="標楷體" w:cstheme="minorHAnsi"/>
                <w:b/>
                <w:szCs w:val="24"/>
              </w:rPr>
            </w:pPr>
          </w:p>
        </w:tc>
        <w:tc>
          <w:tcPr>
            <w:tcW w:w="2679" w:type="pct"/>
          </w:tcPr>
          <w:p w:rsidR="006E6AD3" w:rsidRPr="006E6AD3" w:rsidRDefault="006E6AD3" w:rsidP="006E6AD3">
            <w:pPr>
              <w:pStyle w:val="a8"/>
              <w:numPr>
                <w:ilvl w:val="0"/>
                <w:numId w:val="40"/>
              </w:numPr>
              <w:autoSpaceDE w:val="0"/>
              <w:autoSpaceDN w:val="0"/>
              <w:adjustRightInd w:val="0"/>
              <w:snapToGrid w:val="0"/>
              <w:spacing w:before="178"/>
              <w:ind w:leftChars="0" w:right="5"/>
              <w:jc w:val="both"/>
              <w:rPr>
                <w:rFonts w:eastAsia="Times New Roman"/>
              </w:rPr>
            </w:pPr>
            <w:r w:rsidRPr="006E6AD3">
              <w:rPr>
                <w:rFonts w:eastAsia="Times New Roman"/>
              </w:rPr>
              <w:t>In general, it is recommended that a minimum of 5 rodents or 3 non-rodents per</w:t>
            </w:r>
            <w:r>
              <w:rPr>
                <w:rFonts w:asciiTheme="minorEastAsia" w:hAnsiTheme="minorEastAsia" w:hint="eastAsia"/>
              </w:rPr>
              <w:t xml:space="preserve"> </w:t>
            </w:r>
            <w:r w:rsidRPr="006E6AD3">
              <w:rPr>
                <w:rFonts w:eastAsia="Times New Roman"/>
              </w:rPr>
              <w:t>sex/group/time point be evaluated; however, inclusion of equivalent numbers for each sex may not be critical. Justification for these decisions should be provided.</w:t>
            </w:r>
          </w:p>
          <w:p w:rsidR="006E6AD3" w:rsidRPr="006E6AD3" w:rsidRDefault="006E6AD3" w:rsidP="00AE36BE">
            <w:pPr>
              <w:pStyle w:val="a8"/>
              <w:numPr>
                <w:ilvl w:val="0"/>
                <w:numId w:val="40"/>
              </w:numPr>
              <w:autoSpaceDE w:val="0"/>
              <w:autoSpaceDN w:val="0"/>
              <w:adjustRightInd w:val="0"/>
              <w:snapToGrid w:val="0"/>
              <w:spacing w:before="178"/>
              <w:ind w:leftChars="0" w:right="5"/>
              <w:jc w:val="both"/>
              <w:rPr>
                <w:rFonts w:eastAsia="Times New Roman" w:hint="eastAsia"/>
              </w:rPr>
            </w:pPr>
            <w:r w:rsidRPr="006E6AD3">
              <w:rPr>
                <w:rFonts w:eastAsia="Times New Roman"/>
              </w:rPr>
              <w:t>For each delivery device system used, it is important to provide data that verify the volume and dose level of the administered GT product in animals. This information can</w:t>
            </w:r>
            <w:r>
              <w:rPr>
                <w:rFonts w:asciiTheme="minorEastAsia" w:hAnsiTheme="minorEastAsia" w:hint="eastAsia"/>
              </w:rPr>
              <w:t xml:space="preserve"> </w:t>
            </w:r>
            <w:r w:rsidRPr="006E6AD3">
              <w:rPr>
                <w:rFonts w:eastAsia="Times New Roman"/>
              </w:rPr>
              <w:t>affect interpretation of the resulting BD profile. If a novel delivery device system is planned for use in clinical trials, consider collecting BD data in conjunction with the pharmacology and/or toxicology studies conducted with the device system or its equivalent.</w:t>
            </w:r>
          </w:p>
        </w:tc>
        <w:tc>
          <w:tcPr>
            <w:tcW w:w="970" w:type="pct"/>
          </w:tcPr>
          <w:p w:rsidR="006E6AD3" w:rsidRPr="00B55920" w:rsidRDefault="006E6AD3" w:rsidP="005C07A5">
            <w:pPr>
              <w:snapToGrid w:val="0"/>
              <w:spacing w:beforeLines="50" w:before="180" w:afterLines="50" w:after="180" w:line="0" w:lineRule="atLeast"/>
              <w:contextualSpacing/>
              <w:rPr>
                <w:rFonts w:eastAsia="標楷體" w:cstheme="minorHAnsi"/>
                <w:szCs w:val="24"/>
              </w:rPr>
            </w:pPr>
          </w:p>
        </w:tc>
      </w:tr>
      <w:tr w:rsidR="00CD3475" w:rsidRPr="00B55920" w:rsidTr="00CD3475">
        <w:tc>
          <w:tcPr>
            <w:tcW w:w="4030" w:type="pct"/>
            <w:gridSpan w:val="3"/>
          </w:tcPr>
          <w:p w:rsidR="00CD3475" w:rsidRPr="00CD3475" w:rsidRDefault="00CD3475" w:rsidP="00CD3475">
            <w:pPr>
              <w:autoSpaceDE w:val="0"/>
              <w:autoSpaceDN w:val="0"/>
              <w:adjustRightInd w:val="0"/>
              <w:snapToGrid w:val="0"/>
              <w:spacing w:before="178"/>
              <w:ind w:right="5"/>
              <w:jc w:val="both"/>
              <w:rPr>
                <w:rFonts w:hint="eastAsia"/>
              </w:rPr>
            </w:pPr>
            <w:r w:rsidRPr="00CD3475">
              <w:rPr>
                <w:rFonts w:eastAsia="標楷體" w:cstheme="minorHAnsi"/>
                <w:b/>
                <w:color w:val="FF0000"/>
                <w:sz w:val="28"/>
                <w:szCs w:val="24"/>
              </w:rPr>
              <w:t>GLOSSARY</w:t>
            </w:r>
          </w:p>
        </w:tc>
        <w:tc>
          <w:tcPr>
            <w:tcW w:w="970" w:type="pct"/>
          </w:tcPr>
          <w:p w:rsidR="00CD3475" w:rsidRPr="00B55920" w:rsidRDefault="00CD3475" w:rsidP="005C07A5">
            <w:pPr>
              <w:snapToGrid w:val="0"/>
              <w:spacing w:beforeLines="50" w:before="180" w:afterLines="50" w:after="180" w:line="0" w:lineRule="atLeast"/>
              <w:contextualSpacing/>
              <w:rPr>
                <w:rFonts w:eastAsia="標楷體" w:cstheme="minorHAnsi"/>
                <w:szCs w:val="24"/>
              </w:rPr>
            </w:pPr>
          </w:p>
        </w:tc>
      </w:tr>
      <w:tr w:rsidR="00CD3475" w:rsidRPr="00B55920" w:rsidTr="00EB6C26">
        <w:tc>
          <w:tcPr>
            <w:tcW w:w="262" w:type="pct"/>
          </w:tcPr>
          <w:p w:rsidR="00CD3475" w:rsidRPr="00B55920" w:rsidRDefault="00CD3475" w:rsidP="005C07A5">
            <w:pPr>
              <w:snapToGrid w:val="0"/>
              <w:spacing w:beforeLines="50" w:before="180" w:afterLines="50" w:after="180" w:line="0" w:lineRule="atLeast"/>
              <w:contextualSpacing/>
              <w:jc w:val="center"/>
              <w:rPr>
                <w:rFonts w:eastAsia="標楷體" w:cstheme="minorHAnsi"/>
                <w:szCs w:val="24"/>
              </w:rPr>
            </w:pPr>
          </w:p>
        </w:tc>
        <w:tc>
          <w:tcPr>
            <w:tcW w:w="1089" w:type="pct"/>
          </w:tcPr>
          <w:p w:rsidR="00CD3475" w:rsidRPr="00AE36BE" w:rsidRDefault="00CD3475" w:rsidP="005C07A5">
            <w:pPr>
              <w:snapToGrid w:val="0"/>
              <w:spacing w:line="0" w:lineRule="atLeast"/>
              <w:contextualSpacing/>
              <w:rPr>
                <w:rFonts w:eastAsia="標楷體" w:cstheme="minorHAnsi"/>
                <w:b/>
                <w:szCs w:val="24"/>
              </w:rPr>
            </w:pPr>
          </w:p>
        </w:tc>
        <w:tc>
          <w:tcPr>
            <w:tcW w:w="2679" w:type="pct"/>
          </w:tcPr>
          <w:p w:rsidR="00CD3475" w:rsidRDefault="00CD3475" w:rsidP="00B5439B">
            <w:pPr>
              <w:autoSpaceDE w:val="0"/>
              <w:autoSpaceDN w:val="0"/>
              <w:adjustRightInd w:val="0"/>
              <w:snapToGrid w:val="0"/>
              <w:spacing w:before="178"/>
              <w:ind w:right="5"/>
              <w:rPr>
                <w:b/>
                <w:bCs/>
              </w:rPr>
            </w:pPr>
            <w:r w:rsidRPr="00CD3475">
              <w:rPr>
                <w:b/>
                <w:bCs/>
              </w:rPr>
              <w:t>BD:</w:t>
            </w:r>
            <w:r>
              <w:rPr>
                <w:rFonts w:hint="eastAsia"/>
                <w:b/>
                <w:bCs/>
              </w:rPr>
              <w:t xml:space="preserve"> </w:t>
            </w:r>
          </w:p>
          <w:p w:rsidR="00CD3475" w:rsidRPr="00CD3475" w:rsidRDefault="00CD3475" w:rsidP="00B5439B">
            <w:pPr>
              <w:autoSpaceDE w:val="0"/>
              <w:autoSpaceDN w:val="0"/>
              <w:adjustRightInd w:val="0"/>
              <w:snapToGrid w:val="0"/>
              <w:spacing w:before="178"/>
              <w:ind w:right="5"/>
              <w:rPr>
                <w:rFonts w:hint="eastAsia"/>
              </w:rPr>
            </w:pPr>
            <w:r w:rsidRPr="00CD3475">
              <w:t>Biodistribution.</w:t>
            </w:r>
          </w:p>
          <w:p w:rsidR="00CD3475" w:rsidRPr="00CD3475" w:rsidRDefault="00CD3475" w:rsidP="00B5439B">
            <w:pPr>
              <w:autoSpaceDE w:val="0"/>
              <w:autoSpaceDN w:val="0"/>
              <w:adjustRightInd w:val="0"/>
              <w:snapToGrid w:val="0"/>
              <w:spacing w:before="178"/>
              <w:ind w:right="5"/>
            </w:pPr>
            <w:r w:rsidRPr="00CD3475">
              <w:rPr>
                <w:b/>
                <w:bCs/>
              </w:rPr>
              <w:t>Expression</w:t>
            </w:r>
            <w:r>
              <w:rPr>
                <w:rFonts w:hint="eastAsia"/>
                <w:b/>
                <w:bCs/>
              </w:rPr>
              <w:t xml:space="preserve"> </w:t>
            </w:r>
            <w:r w:rsidRPr="00CD3475">
              <w:rPr>
                <w:b/>
                <w:bCs/>
              </w:rPr>
              <w:t>products:</w:t>
            </w:r>
          </w:p>
          <w:p w:rsidR="00CD3475" w:rsidRPr="00CD3475" w:rsidRDefault="00CD3475" w:rsidP="00B5439B">
            <w:pPr>
              <w:autoSpaceDE w:val="0"/>
              <w:autoSpaceDN w:val="0"/>
              <w:adjustRightInd w:val="0"/>
              <w:snapToGrid w:val="0"/>
              <w:spacing w:before="178"/>
              <w:ind w:right="5"/>
            </w:pPr>
            <w:r w:rsidRPr="00CD3475">
              <w:t>Molecules</w:t>
            </w:r>
            <w:r>
              <w:rPr>
                <w:rFonts w:hint="eastAsia"/>
              </w:rPr>
              <w:t xml:space="preserve"> </w:t>
            </w:r>
            <w:r w:rsidRPr="00CD3475">
              <w:t>such</w:t>
            </w:r>
            <w:r>
              <w:rPr>
                <w:rFonts w:hint="eastAsia"/>
              </w:rPr>
              <w:t xml:space="preserve"> </w:t>
            </w:r>
            <w:r w:rsidRPr="00CD3475">
              <w:t>as</w:t>
            </w:r>
            <w:r>
              <w:rPr>
                <w:rFonts w:hint="eastAsia"/>
              </w:rPr>
              <w:t xml:space="preserve"> </w:t>
            </w:r>
            <w:r w:rsidRPr="00CD3475">
              <w:t>RNA</w:t>
            </w:r>
            <w:r>
              <w:rPr>
                <w:rFonts w:hint="eastAsia"/>
              </w:rPr>
              <w:t xml:space="preserve"> </w:t>
            </w:r>
            <w:r w:rsidRPr="00CD3475">
              <w:t>and</w:t>
            </w:r>
            <w:r>
              <w:rPr>
                <w:rFonts w:hint="eastAsia"/>
              </w:rPr>
              <w:t xml:space="preserve"> </w:t>
            </w:r>
            <w:r w:rsidRPr="00CD3475">
              <w:t>protein,</w:t>
            </w:r>
            <w:r>
              <w:rPr>
                <w:rFonts w:hint="eastAsia"/>
              </w:rPr>
              <w:t xml:space="preserve"> </w:t>
            </w:r>
            <w:r w:rsidRPr="00CD3475">
              <w:t>produced</w:t>
            </w:r>
            <w:r>
              <w:rPr>
                <w:rFonts w:hint="eastAsia"/>
              </w:rPr>
              <w:t xml:space="preserve"> </w:t>
            </w:r>
            <w:r w:rsidRPr="00CD3475">
              <w:t>in</w:t>
            </w:r>
            <w:r>
              <w:rPr>
                <w:rFonts w:hint="eastAsia"/>
              </w:rPr>
              <w:t xml:space="preserve"> </w:t>
            </w:r>
            <w:r w:rsidRPr="00CD3475">
              <w:t>the</w:t>
            </w:r>
            <w:r>
              <w:rPr>
                <w:rFonts w:hint="eastAsia"/>
              </w:rPr>
              <w:t xml:space="preserve"> </w:t>
            </w:r>
            <w:r w:rsidRPr="00CD3475">
              <w:t>cells</w:t>
            </w:r>
            <w:r>
              <w:rPr>
                <w:rFonts w:hint="eastAsia"/>
              </w:rPr>
              <w:t xml:space="preserve"> </w:t>
            </w:r>
            <w:r w:rsidRPr="00CD3475">
              <w:t>guided</w:t>
            </w:r>
            <w:r>
              <w:rPr>
                <w:rFonts w:hint="eastAsia"/>
              </w:rPr>
              <w:t xml:space="preserve"> </w:t>
            </w:r>
            <w:r w:rsidRPr="00CD3475">
              <w:t>by</w:t>
            </w:r>
            <w:r>
              <w:rPr>
                <w:rFonts w:hint="eastAsia"/>
              </w:rPr>
              <w:t xml:space="preserve"> </w:t>
            </w:r>
            <w:r w:rsidRPr="00CD3475">
              <w:t>the</w:t>
            </w:r>
            <w:r>
              <w:rPr>
                <w:rFonts w:hint="eastAsia"/>
              </w:rPr>
              <w:t xml:space="preserve"> </w:t>
            </w:r>
            <w:r w:rsidRPr="00CD3475">
              <w:t>transferred genetic</w:t>
            </w:r>
            <w:r>
              <w:rPr>
                <w:rFonts w:hint="eastAsia"/>
              </w:rPr>
              <w:t xml:space="preserve"> </w:t>
            </w:r>
            <w:r w:rsidRPr="00CD3475">
              <w:t>materials.</w:t>
            </w:r>
          </w:p>
          <w:p w:rsidR="00CD3475" w:rsidRPr="00CD3475" w:rsidRDefault="00CD3475" w:rsidP="00B5439B">
            <w:pPr>
              <w:autoSpaceDE w:val="0"/>
              <w:autoSpaceDN w:val="0"/>
              <w:adjustRightInd w:val="0"/>
              <w:snapToGrid w:val="0"/>
              <w:spacing w:before="178"/>
              <w:ind w:right="5"/>
            </w:pPr>
            <w:r w:rsidRPr="00CD3475">
              <w:rPr>
                <w:b/>
                <w:bCs/>
              </w:rPr>
              <w:t>Gene</w:t>
            </w:r>
            <w:r>
              <w:rPr>
                <w:rFonts w:hint="eastAsia"/>
                <w:b/>
                <w:bCs/>
              </w:rPr>
              <w:t xml:space="preserve"> </w:t>
            </w:r>
            <w:r w:rsidRPr="00CD3475">
              <w:rPr>
                <w:b/>
                <w:bCs/>
              </w:rPr>
              <w:t>therapy</w:t>
            </w:r>
            <w:r>
              <w:rPr>
                <w:rFonts w:hint="eastAsia"/>
                <w:b/>
                <w:bCs/>
              </w:rPr>
              <w:t xml:space="preserve"> </w:t>
            </w:r>
            <w:r w:rsidRPr="00CD3475">
              <w:rPr>
                <w:b/>
                <w:bCs/>
              </w:rPr>
              <w:t>(GT)</w:t>
            </w:r>
            <w:r>
              <w:rPr>
                <w:rFonts w:hint="eastAsia"/>
                <w:b/>
                <w:bCs/>
              </w:rPr>
              <w:t xml:space="preserve"> </w:t>
            </w:r>
            <w:r w:rsidRPr="00CD3475">
              <w:rPr>
                <w:b/>
                <w:bCs/>
              </w:rPr>
              <w:t>products:</w:t>
            </w:r>
          </w:p>
          <w:p w:rsidR="00CD3475" w:rsidRDefault="00CD3475" w:rsidP="00B5439B">
            <w:pPr>
              <w:autoSpaceDE w:val="0"/>
              <w:autoSpaceDN w:val="0"/>
              <w:adjustRightInd w:val="0"/>
              <w:snapToGrid w:val="0"/>
              <w:spacing w:before="178"/>
              <w:ind w:right="5"/>
            </w:pPr>
            <w:r w:rsidRPr="00CD3475">
              <w:t>Therapeutic</w:t>
            </w:r>
            <w:r>
              <w:rPr>
                <w:rFonts w:hint="eastAsia"/>
              </w:rPr>
              <w:t xml:space="preserve"> </w:t>
            </w:r>
            <w:r w:rsidRPr="00CD3475">
              <w:t>products</w:t>
            </w:r>
            <w:r>
              <w:rPr>
                <w:rFonts w:hint="eastAsia"/>
              </w:rPr>
              <w:t xml:space="preserve"> </w:t>
            </w:r>
            <w:r w:rsidRPr="00CD3475">
              <w:t>that</w:t>
            </w:r>
            <w:r>
              <w:rPr>
                <w:rFonts w:hint="eastAsia"/>
              </w:rPr>
              <w:t xml:space="preserve"> </w:t>
            </w:r>
            <w:r w:rsidRPr="00CD3475">
              <w:t>mediate</w:t>
            </w:r>
            <w:r>
              <w:rPr>
                <w:rFonts w:hint="eastAsia"/>
              </w:rPr>
              <w:t xml:space="preserve"> </w:t>
            </w:r>
            <w:r w:rsidRPr="00CD3475">
              <w:t>their</w:t>
            </w:r>
            <w:r>
              <w:rPr>
                <w:rFonts w:hint="eastAsia"/>
              </w:rPr>
              <w:t xml:space="preserve"> </w:t>
            </w:r>
            <w:r w:rsidRPr="00CD3475">
              <w:t>effect</w:t>
            </w:r>
            <w:r>
              <w:rPr>
                <w:rFonts w:hint="eastAsia"/>
              </w:rPr>
              <w:t xml:space="preserve"> </w:t>
            </w:r>
            <w:r w:rsidRPr="00CD3475">
              <w:t>by</w:t>
            </w:r>
            <w:r>
              <w:rPr>
                <w:rFonts w:hint="eastAsia"/>
              </w:rPr>
              <w:t xml:space="preserve"> </w:t>
            </w:r>
            <w:r w:rsidRPr="00CD3475">
              <w:t>the</w:t>
            </w:r>
            <w:r>
              <w:rPr>
                <w:rFonts w:hint="eastAsia"/>
              </w:rPr>
              <w:t xml:space="preserve"> </w:t>
            </w:r>
            <w:r w:rsidRPr="00CD3475">
              <w:t>expression(transcription/translation)</w:t>
            </w:r>
            <w:r>
              <w:rPr>
                <w:rFonts w:hint="eastAsia"/>
              </w:rPr>
              <w:t xml:space="preserve"> </w:t>
            </w:r>
            <w:r w:rsidRPr="00CD3475">
              <w:t>of</w:t>
            </w:r>
            <w:r>
              <w:rPr>
                <w:rFonts w:hint="eastAsia"/>
              </w:rPr>
              <w:t xml:space="preserve"> </w:t>
            </w:r>
            <w:r w:rsidRPr="00CD3475">
              <w:t>transferred</w:t>
            </w:r>
            <w:r>
              <w:rPr>
                <w:rFonts w:hint="eastAsia"/>
              </w:rPr>
              <w:t xml:space="preserve"> </w:t>
            </w:r>
            <w:r w:rsidRPr="00CD3475">
              <w:t>genetic</w:t>
            </w:r>
            <w:r>
              <w:rPr>
                <w:rFonts w:hint="eastAsia"/>
              </w:rPr>
              <w:t xml:space="preserve"> </w:t>
            </w:r>
            <w:r w:rsidRPr="00CD3475">
              <w:t>materials,</w:t>
            </w:r>
            <w:r>
              <w:rPr>
                <w:rFonts w:hint="eastAsia"/>
              </w:rPr>
              <w:t xml:space="preserve"> </w:t>
            </w:r>
            <w:r w:rsidRPr="00CD3475">
              <w:t>or</w:t>
            </w:r>
            <w:r>
              <w:rPr>
                <w:rFonts w:hint="eastAsia"/>
              </w:rPr>
              <w:t xml:space="preserve"> </w:t>
            </w:r>
            <w:r w:rsidRPr="00CD3475">
              <w:t>by</w:t>
            </w:r>
            <w:r>
              <w:rPr>
                <w:rFonts w:hint="eastAsia"/>
              </w:rPr>
              <w:t xml:space="preserve"> </w:t>
            </w:r>
            <w:r w:rsidRPr="00CD3475">
              <w:t>specifically</w:t>
            </w:r>
            <w:r>
              <w:rPr>
                <w:rFonts w:hint="eastAsia"/>
              </w:rPr>
              <w:t xml:space="preserve"> </w:t>
            </w:r>
            <w:r w:rsidRPr="00CD3475">
              <w:t>altering</w:t>
            </w:r>
            <w:r>
              <w:rPr>
                <w:rFonts w:hint="eastAsia"/>
              </w:rPr>
              <w:t xml:space="preserve"> </w:t>
            </w:r>
            <w:r w:rsidRPr="00CD3475">
              <w:t>the</w:t>
            </w:r>
            <w:r>
              <w:rPr>
                <w:rFonts w:hint="eastAsia"/>
              </w:rPr>
              <w:t xml:space="preserve"> </w:t>
            </w:r>
            <w:r w:rsidRPr="00CD3475">
              <w:t>target</w:t>
            </w:r>
            <w:r>
              <w:rPr>
                <w:rFonts w:hint="eastAsia"/>
              </w:rPr>
              <w:t xml:space="preserve"> </w:t>
            </w:r>
            <w:r w:rsidRPr="00CD3475">
              <w:t>genome</w:t>
            </w:r>
            <w:r>
              <w:rPr>
                <w:rFonts w:hint="eastAsia"/>
              </w:rPr>
              <w:t xml:space="preserve"> </w:t>
            </w:r>
            <w:r w:rsidRPr="00CD3475">
              <w:t>of human</w:t>
            </w:r>
            <w:r>
              <w:rPr>
                <w:rFonts w:hint="eastAsia"/>
              </w:rPr>
              <w:t xml:space="preserve"> </w:t>
            </w:r>
            <w:r w:rsidRPr="00CD3475">
              <w:t>cells.</w:t>
            </w:r>
            <w:r>
              <w:rPr>
                <w:rFonts w:hint="eastAsia"/>
              </w:rPr>
              <w:t xml:space="preserve"> </w:t>
            </w:r>
            <w:r w:rsidRPr="00CD3475">
              <w:t>This</w:t>
            </w:r>
            <w:r>
              <w:rPr>
                <w:rFonts w:hint="eastAsia"/>
              </w:rPr>
              <w:t xml:space="preserve"> </w:t>
            </w:r>
            <w:r w:rsidRPr="00CD3475">
              <w:t>definition</w:t>
            </w:r>
            <w:r>
              <w:rPr>
                <w:rFonts w:hint="eastAsia"/>
              </w:rPr>
              <w:t xml:space="preserve"> </w:t>
            </w:r>
            <w:r w:rsidRPr="00CD3475">
              <w:t>is</w:t>
            </w:r>
            <w:r>
              <w:rPr>
                <w:rFonts w:hint="eastAsia"/>
              </w:rPr>
              <w:t xml:space="preserve"> </w:t>
            </w:r>
            <w:r w:rsidRPr="00CD3475">
              <w:t>for</w:t>
            </w:r>
            <w:r>
              <w:rPr>
                <w:rFonts w:hint="eastAsia"/>
              </w:rPr>
              <w:t xml:space="preserve"> </w:t>
            </w:r>
            <w:r w:rsidRPr="00CD3475">
              <w:t>the</w:t>
            </w:r>
            <w:r>
              <w:rPr>
                <w:rFonts w:hint="eastAsia"/>
              </w:rPr>
              <w:t xml:space="preserve"> </w:t>
            </w:r>
            <w:r w:rsidRPr="00CD3475">
              <w:t>purpose</w:t>
            </w:r>
            <w:r>
              <w:rPr>
                <w:rFonts w:hint="eastAsia"/>
              </w:rPr>
              <w:t xml:space="preserve"> </w:t>
            </w:r>
            <w:r w:rsidRPr="00CD3475">
              <w:t>of</w:t>
            </w:r>
            <w:r>
              <w:rPr>
                <w:rFonts w:hint="eastAsia"/>
              </w:rPr>
              <w:t xml:space="preserve"> </w:t>
            </w:r>
            <w:r w:rsidRPr="00CD3475">
              <w:t>this</w:t>
            </w:r>
            <w:r>
              <w:rPr>
                <w:rFonts w:hint="eastAsia"/>
              </w:rPr>
              <w:t xml:space="preserve"> </w:t>
            </w:r>
            <w:r w:rsidRPr="00CD3475">
              <w:t>guideline.</w:t>
            </w:r>
          </w:p>
          <w:p w:rsidR="00CD3475" w:rsidRPr="00CD3475" w:rsidRDefault="00CD3475" w:rsidP="00B5439B">
            <w:pPr>
              <w:autoSpaceDE w:val="0"/>
              <w:autoSpaceDN w:val="0"/>
              <w:adjustRightInd w:val="0"/>
              <w:snapToGrid w:val="0"/>
              <w:spacing w:before="178"/>
              <w:ind w:right="5"/>
            </w:pPr>
            <w:proofErr w:type="spellStart"/>
            <w:r w:rsidRPr="00CD3475">
              <w:rPr>
                <w:b/>
                <w:bCs/>
              </w:rPr>
              <w:t>Genetransfer</w:t>
            </w:r>
            <w:proofErr w:type="spellEnd"/>
            <w:r w:rsidRPr="00CD3475">
              <w:rPr>
                <w:b/>
                <w:bCs/>
              </w:rPr>
              <w:t>:</w:t>
            </w:r>
          </w:p>
          <w:p w:rsidR="00CD3475" w:rsidRDefault="00CD3475" w:rsidP="00B5439B">
            <w:pPr>
              <w:autoSpaceDE w:val="0"/>
              <w:autoSpaceDN w:val="0"/>
              <w:adjustRightInd w:val="0"/>
              <w:snapToGrid w:val="0"/>
              <w:spacing w:before="178"/>
              <w:ind w:right="5"/>
            </w:pPr>
            <w:r w:rsidRPr="00CD3475">
              <w:t>Delivery</w:t>
            </w:r>
            <w:r w:rsidR="00572325">
              <w:rPr>
                <w:rFonts w:hint="eastAsia"/>
              </w:rPr>
              <w:t xml:space="preserve"> </w:t>
            </w:r>
            <w:r w:rsidRPr="00CD3475">
              <w:t>of</w:t>
            </w:r>
            <w:r w:rsidR="00572325">
              <w:rPr>
                <w:rFonts w:hint="eastAsia"/>
              </w:rPr>
              <w:t xml:space="preserve"> </w:t>
            </w:r>
            <w:r w:rsidRPr="00CD3475">
              <w:t>therapeutic</w:t>
            </w:r>
            <w:r w:rsidR="00572325">
              <w:rPr>
                <w:rFonts w:hint="eastAsia"/>
              </w:rPr>
              <w:t xml:space="preserve"> </w:t>
            </w:r>
            <w:r w:rsidRPr="00CD3475">
              <w:t>genetic</w:t>
            </w:r>
            <w:r w:rsidR="00572325">
              <w:rPr>
                <w:rFonts w:hint="eastAsia"/>
              </w:rPr>
              <w:t xml:space="preserve"> </w:t>
            </w:r>
            <w:r w:rsidRPr="00CD3475">
              <w:t>material</w:t>
            </w:r>
            <w:r w:rsidR="00572325">
              <w:rPr>
                <w:rFonts w:hint="eastAsia"/>
              </w:rPr>
              <w:t xml:space="preserve"> </w:t>
            </w:r>
            <w:r w:rsidRPr="00CD3475">
              <w:t>into</w:t>
            </w:r>
            <w:r w:rsidR="00572325">
              <w:rPr>
                <w:rFonts w:hint="eastAsia"/>
              </w:rPr>
              <w:t xml:space="preserve"> </w:t>
            </w:r>
            <w:r w:rsidRPr="00CD3475">
              <w:t>the</w:t>
            </w:r>
            <w:r w:rsidR="00572325">
              <w:rPr>
                <w:rFonts w:hint="eastAsia"/>
              </w:rPr>
              <w:t xml:space="preserve"> </w:t>
            </w:r>
            <w:r w:rsidRPr="00CD3475">
              <w:t>cells</w:t>
            </w:r>
            <w:r w:rsidR="00572325">
              <w:rPr>
                <w:rFonts w:hint="eastAsia"/>
              </w:rPr>
              <w:t xml:space="preserve"> </w:t>
            </w:r>
            <w:r w:rsidRPr="00CD3475">
              <w:t>using</w:t>
            </w:r>
            <w:r w:rsidR="00572325">
              <w:rPr>
                <w:rFonts w:hint="eastAsia"/>
              </w:rPr>
              <w:t xml:space="preserve"> </w:t>
            </w:r>
            <w:r w:rsidRPr="00CD3475">
              <w:t>vectors</w:t>
            </w:r>
            <w:r w:rsidR="00572325">
              <w:rPr>
                <w:rFonts w:hint="eastAsia"/>
              </w:rPr>
              <w:t xml:space="preserve"> </w:t>
            </w:r>
            <w:r w:rsidRPr="00CD3475">
              <w:t>(e.g.</w:t>
            </w:r>
            <w:r w:rsidR="00572325">
              <w:rPr>
                <w:rFonts w:hint="eastAsia"/>
              </w:rPr>
              <w:t xml:space="preserve"> </w:t>
            </w:r>
            <w:r w:rsidRPr="00CD3475">
              <w:t>transduction for</w:t>
            </w:r>
            <w:r w:rsidR="00572325">
              <w:rPr>
                <w:rFonts w:hint="eastAsia"/>
              </w:rPr>
              <w:t xml:space="preserve"> </w:t>
            </w:r>
            <w:r w:rsidRPr="00CD3475">
              <w:t>viral</w:t>
            </w:r>
            <w:r w:rsidR="00572325">
              <w:rPr>
                <w:rFonts w:hint="eastAsia"/>
              </w:rPr>
              <w:t xml:space="preserve"> </w:t>
            </w:r>
            <w:r w:rsidRPr="00CD3475">
              <w:t>vectors</w:t>
            </w:r>
            <w:r w:rsidR="00572325">
              <w:rPr>
                <w:rFonts w:hint="eastAsia"/>
              </w:rPr>
              <w:t xml:space="preserve"> </w:t>
            </w:r>
            <w:r w:rsidRPr="00CD3475">
              <w:t>and</w:t>
            </w:r>
            <w:r w:rsidR="00572325">
              <w:rPr>
                <w:rFonts w:hint="eastAsia"/>
              </w:rPr>
              <w:t xml:space="preserve"> </w:t>
            </w:r>
            <w:r w:rsidRPr="00CD3475">
              <w:t>transfection</w:t>
            </w:r>
            <w:r w:rsidR="00572325">
              <w:rPr>
                <w:rFonts w:hint="eastAsia"/>
              </w:rPr>
              <w:t xml:space="preserve"> </w:t>
            </w:r>
            <w:r w:rsidRPr="00CD3475">
              <w:t>for</w:t>
            </w:r>
            <w:r w:rsidR="00572325">
              <w:rPr>
                <w:rFonts w:hint="eastAsia"/>
              </w:rPr>
              <w:t xml:space="preserve"> </w:t>
            </w:r>
            <w:r w:rsidRPr="00CD3475">
              <w:t>plasmids).</w:t>
            </w:r>
          </w:p>
          <w:p w:rsidR="00572325" w:rsidRPr="00572325" w:rsidRDefault="00572325" w:rsidP="00B5439B">
            <w:pPr>
              <w:autoSpaceDE w:val="0"/>
              <w:autoSpaceDN w:val="0"/>
              <w:adjustRightInd w:val="0"/>
              <w:snapToGrid w:val="0"/>
              <w:spacing w:before="178"/>
              <w:ind w:right="5"/>
            </w:pPr>
            <w:r w:rsidRPr="00572325">
              <w:rPr>
                <w:b/>
                <w:bCs/>
              </w:rPr>
              <w:lastRenderedPageBreak/>
              <w:t>ROA:</w:t>
            </w:r>
          </w:p>
          <w:p w:rsidR="00572325" w:rsidRDefault="00572325" w:rsidP="00B5439B">
            <w:pPr>
              <w:autoSpaceDE w:val="0"/>
              <w:autoSpaceDN w:val="0"/>
              <w:adjustRightInd w:val="0"/>
              <w:snapToGrid w:val="0"/>
              <w:spacing w:before="178"/>
              <w:ind w:right="5"/>
              <w:rPr>
                <w:rFonts w:hint="eastAsia"/>
              </w:rPr>
            </w:pPr>
            <w:r w:rsidRPr="00572325">
              <w:t>Route</w:t>
            </w:r>
            <w:r>
              <w:rPr>
                <w:rFonts w:hint="eastAsia"/>
              </w:rPr>
              <w:t xml:space="preserve"> </w:t>
            </w:r>
            <w:r w:rsidRPr="00572325">
              <w:t>of</w:t>
            </w:r>
            <w:r>
              <w:rPr>
                <w:rFonts w:hint="eastAsia"/>
              </w:rPr>
              <w:t xml:space="preserve"> </w:t>
            </w:r>
            <w:r w:rsidRPr="00572325">
              <w:t>administration.</w:t>
            </w:r>
          </w:p>
          <w:p w:rsidR="00B5439B" w:rsidRPr="00B5439B" w:rsidRDefault="00B5439B" w:rsidP="00B5439B">
            <w:pPr>
              <w:autoSpaceDE w:val="0"/>
              <w:autoSpaceDN w:val="0"/>
              <w:adjustRightInd w:val="0"/>
              <w:snapToGrid w:val="0"/>
              <w:spacing w:before="178"/>
              <w:ind w:right="5"/>
            </w:pPr>
            <w:r w:rsidRPr="00B5439B">
              <w:rPr>
                <w:b/>
                <w:bCs/>
              </w:rPr>
              <w:t>Transgene:</w:t>
            </w:r>
          </w:p>
          <w:p w:rsidR="00B5439B" w:rsidRDefault="00B5439B" w:rsidP="00B5439B">
            <w:pPr>
              <w:autoSpaceDE w:val="0"/>
              <w:autoSpaceDN w:val="0"/>
              <w:adjustRightInd w:val="0"/>
              <w:snapToGrid w:val="0"/>
              <w:spacing w:before="178"/>
              <w:ind w:right="5"/>
              <w:rPr>
                <w:rFonts w:hint="eastAsia"/>
              </w:rPr>
            </w:pPr>
            <w:r w:rsidRPr="00B5439B">
              <w:t>Transcriptionally</w:t>
            </w:r>
            <w:r>
              <w:rPr>
                <w:rFonts w:hint="eastAsia"/>
              </w:rPr>
              <w:t xml:space="preserve"> </w:t>
            </w:r>
            <w:r w:rsidRPr="00B5439B">
              <w:t>or</w:t>
            </w:r>
            <w:r>
              <w:rPr>
                <w:rFonts w:hint="eastAsia"/>
              </w:rPr>
              <w:t xml:space="preserve"> </w:t>
            </w:r>
            <w:r w:rsidRPr="00B5439B">
              <w:t>translationally</w:t>
            </w:r>
            <w:r>
              <w:rPr>
                <w:rFonts w:hint="eastAsia"/>
              </w:rPr>
              <w:t xml:space="preserve"> </w:t>
            </w:r>
            <w:r w:rsidRPr="00B5439B">
              <w:t>active</w:t>
            </w:r>
            <w:r>
              <w:rPr>
                <w:rFonts w:hint="eastAsia"/>
              </w:rPr>
              <w:t xml:space="preserve"> </w:t>
            </w:r>
            <w:r w:rsidRPr="00B5439B">
              <w:t>genetic</w:t>
            </w:r>
            <w:r>
              <w:rPr>
                <w:rFonts w:hint="eastAsia"/>
              </w:rPr>
              <w:t xml:space="preserve"> </w:t>
            </w:r>
            <w:r w:rsidRPr="00B5439B">
              <w:t>material</w:t>
            </w:r>
            <w:r>
              <w:rPr>
                <w:rFonts w:hint="eastAsia"/>
              </w:rPr>
              <w:t xml:space="preserve"> </w:t>
            </w:r>
            <w:r w:rsidRPr="00B5439B">
              <w:t>intended</w:t>
            </w:r>
            <w:r>
              <w:rPr>
                <w:rFonts w:hint="eastAsia"/>
              </w:rPr>
              <w:t xml:space="preserve"> </w:t>
            </w:r>
            <w:r w:rsidRPr="00B5439B">
              <w:t>to</w:t>
            </w:r>
            <w:r>
              <w:rPr>
                <w:rFonts w:hint="eastAsia"/>
              </w:rPr>
              <w:t xml:space="preserve"> </w:t>
            </w:r>
            <w:r w:rsidRPr="00B5439B">
              <w:t>be</w:t>
            </w:r>
            <w:r>
              <w:rPr>
                <w:rFonts w:hint="eastAsia"/>
              </w:rPr>
              <w:t xml:space="preserve"> </w:t>
            </w:r>
            <w:r w:rsidRPr="00B5439B">
              <w:t>delivered</w:t>
            </w:r>
            <w:r>
              <w:rPr>
                <w:rFonts w:hint="eastAsia"/>
              </w:rPr>
              <w:t xml:space="preserve"> </w:t>
            </w:r>
            <w:r w:rsidRPr="00B5439B">
              <w:t>into</w:t>
            </w:r>
            <w:r>
              <w:rPr>
                <w:rFonts w:hint="eastAsia"/>
              </w:rPr>
              <w:t xml:space="preserve"> </w:t>
            </w:r>
            <w:r w:rsidRPr="00B5439B">
              <w:t>cells</w:t>
            </w:r>
            <w:r>
              <w:rPr>
                <w:rFonts w:hint="eastAsia"/>
              </w:rPr>
              <w:t xml:space="preserve"> </w:t>
            </w:r>
            <w:r w:rsidRPr="00B5439B">
              <w:t>with</w:t>
            </w:r>
            <w:r>
              <w:rPr>
                <w:rFonts w:hint="eastAsia"/>
              </w:rPr>
              <w:t xml:space="preserve"> </w:t>
            </w:r>
            <w:r w:rsidRPr="00B5439B">
              <w:t>therapeutic</w:t>
            </w:r>
            <w:r>
              <w:rPr>
                <w:rFonts w:hint="eastAsia"/>
              </w:rPr>
              <w:t xml:space="preserve"> </w:t>
            </w:r>
            <w:r w:rsidRPr="00B5439B">
              <w:t>purpose.</w:t>
            </w:r>
            <w:r>
              <w:rPr>
                <w:rFonts w:hint="eastAsia"/>
              </w:rPr>
              <w:t xml:space="preserve"> </w:t>
            </w:r>
            <w:r w:rsidRPr="00B5439B">
              <w:t>It</w:t>
            </w:r>
            <w:r>
              <w:rPr>
                <w:rFonts w:hint="eastAsia"/>
              </w:rPr>
              <w:t xml:space="preserve"> </w:t>
            </w:r>
            <w:r w:rsidRPr="00B5439B">
              <w:t>does</w:t>
            </w:r>
            <w:r>
              <w:rPr>
                <w:rFonts w:hint="eastAsia"/>
              </w:rPr>
              <w:t xml:space="preserve"> </w:t>
            </w:r>
            <w:r w:rsidRPr="00B5439B">
              <w:t>not</w:t>
            </w:r>
            <w:r>
              <w:rPr>
                <w:rFonts w:hint="eastAsia"/>
              </w:rPr>
              <w:t xml:space="preserve"> </w:t>
            </w:r>
            <w:r w:rsidRPr="00B5439B">
              <w:t>include</w:t>
            </w:r>
            <w:r>
              <w:rPr>
                <w:rFonts w:hint="eastAsia"/>
              </w:rPr>
              <w:t xml:space="preserve"> </w:t>
            </w:r>
            <w:r w:rsidRPr="00B5439B">
              <w:t>vector</w:t>
            </w:r>
            <w:r>
              <w:rPr>
                <w:rFonts w:hint="eastAsia"/>
              </w:rPr>
              <w:t xml:space="preserve"> </w:t>
            </w:r>
            <w:r w:rsidRPr="00B5439B">
              <w:t>or</w:t>
            </w:r>
            <w:r>
              <w:rPr>
                <w:rFonts w:hint="eastAsia"/>
              </w:rPr>
              <w:t xml:space="preserve"> </w:t>
            </w:r>
            <w:r w:rsidRPr="00B5439B">
              <w:t>chemically</w:t>
            </w:r>
            <w:r>
              <w:rPr>
                <w:rFonts w:hint="eastAsia"/>
              </w:rPr>
              <w:t xml:space="preserve"> </w:t>
            </w:r>
            <w:r>
              <w:t>synthesized</w:t>
            </w:r>
            <w:r>
              <w:rPr>
                <w:rFonts w:hint="eastAsia"/>
              </w:rPr>
              <w:t xml:space="preserve"> </w:t>
            </w:r>
            <w:r w:rsidRPr="00B5439B">
              <w:t>oligonucleotides.</w:t>
            </w:r>
          </w:p>
          <w:p w:rsidR="00B5439B" w:rsidRPr="00B5439B" w:rsidRDefault="00B5439B" w:rsidP="00B5439B">
            <w:pPr>
              <w:autoSpaceDE w:val="0"/>
              <w:autoSpaceDN w:val="0"/>
              <w:adjustRightInd w:val="0"/>
              <w:snapToGrid w:val="0"/>
              <w:spacing w:before="178"/>
              <w:ind w:right="5"/>
            </w:pPr>
            <w:r w:rsidRPr="00B5439B">
              <w:rPr>
                <w:b/>
                <w:bCs/>
              </w:rPr>
              <w:t>Vectors:</w:t>
            </w:r>
          </w:p>
          <w:p w:rsidR="00CD3475" w:rsidRPr="00CD3475" w:rsidRDefault="00B5439B" w:rsidP="00B5439B">
            <w:pPr>
              <w:autoSpaceDE w:val="0"/>
              <w:autoSpaceDN w:val="0"/>
              <w:adjustRightInd w:val="0"/>
              <w:snapToGrid w:val="0"/>
              <w:spacing w:before="178"/>
              <w:ind w:right="5"/>
              <w:rPr>
                <w:rFonts w:hint="eastAsia"/>
              </w:rPr>
            </w:pPr>
            <w:r w:rsidRPr="00B5439B">
              <w:t>Gene</w:t>
            </w:r>
            <w:r>
              <w:rPr>
                <w:rFonts w:hint="eastAsia"/>
              </w:rPr>
              <w:t xml:space="preserve"> </w:t>
            </w:r>
            <w:r w:rsidRPr="00B5439B">
              <w:t>therapy</w:t>
            </w:r>
            <w:r>
              <w:rPr>
                <w:rFonts w:hint="eastAsia"/>
              </w:rPr>
              <w:t xml:space="preserve"> </w:t>
            </w:r>
            <w:r w:rsidRPr="00B5439B">
              <w:t>delivery</w:t>
            </w:r>
            <w:r>
              <w:rPr>
                <w:rFonts w:hint="eastAsia"/>
              </w:rPr>
              <w:t xml:space="preserve"> </w:t>
            </w:r>
            <w:r w:rsidRPr="00B5439B">
              <w:t>vehicles,</w:t>
            </w:r>
            <w:r>
              <w:rPr>
                <w:rFonts w:hint="eastAsia"/>
              </w:rPr>
              <w:t xml:space="preserve"> </w:t>
            </w:r>
            <w:r w:rsidRPr="00B5439B">
              <w:t>or</w:t>
            </w:r>
            <w:r>
              <w:rPr>
                <w:rFonts w:hint="eastAsia"/>
              </w:rPr>
              <w:t xml:space="preserve"> </w:t>
            </w:r>
            <w:r w:rsidRPr="00B5439B">
              <w:t>carriers,</w:t>
            </w:r>
            <w:r>
              <w:rPr>
                <w:rFonts w:hint="eastAsia"/>
              </w:rPr>
              <w:t xml:space="preserve"> </w:t>
            </w:r>
            <w:r w:rsidRPr="00B5439B">
              <w:t>containing</w:t>
            </w:r>
            <w:r>
              <w:rPr>
                <w:rFonts w:hint="eastAsia"/>
              </w:rPr>
              <w:t xml:space="preserve"> </w:t>
            </w:r>
            <w:r w:rsidRPr="00B5439B">
              <w:t>transcriptionally/translationally</w:t>
            </w:r>
            <w:r>
              <w:rPr>
                <w:rFonts w:hint="eastAsia"/>
              </w:rPr>
              <w:t xml:space="preserve"> </w:t>
            </w:r>
            <w:r w:rsidRPr="00B5439B">
              <w:t>active</w:t>
            </w:r>
            <w:r>
              <w:rPr>
                <w:rFonts w:hint="eastAsia"/>
              </w:rPr>
              <w:t xml:space="preserve"> </w:t>
            </w:r>
            <w:r w:rsidRPr="00B5439B">
              <w:t>therapeutic</w:t>
            </w:r>
            <w:r>
              <w:rPr>
                <w:rFonts w:hint="eastAsia"/>
              </w:rPr>
              <w:t xml:space="preserve"> </w:t>
            </w:r>
            <w:r w:rsidRPr="00B5439B">
              <w:t>genetic</w:t>
            </w:r>
            <w:r>
              <w:rPr>
                <w:rFonts w:hint="eastAsia"/>
              </w:rPr>
              <w:t xml:space="preserve"> </w:t>
            </w:r>
            <w:r w:rsidRPr="00B5439B">
              <w:t>material</w:t>
            </w:r>
            <w:r>
              <w:rPr>
                <w:rFonts w:hint="eastAsia"/>
              </w:rPr>
              <w:t xml:space="preserve"> </w:t>
            </w:r>
            <w:r w:rsidRPr="00B5439B">
              <w:t>or</w:t>
            </w:r>
            <w:r>
              <w:rPr>
                <w:rFonts w:hint="eastAsia"/>
              </w:rPr>
              <w:t xml:space="preserve"> </w:t>
            </w:r>
            <w:r w:rsidRPr="00B5439B">
              <w:t>genetic</w:t>
            </w:r>
            <w:r>
              <w:rPr>
                <w:rFonts w:hint="eastAsia"/>
              </w:rPr>
              <w:t xml:space="preserve"> </w:t>
            </w:r>
            <w:r w:rsidRPr="00B5439B">
              <w:t>material</w:t>
            </w:r>
            <w:r>
              <w:rPr>
                <w:rFonts w:hint="eastAsia"/>
              </w:rPr>
              <w:t xml:space="preserve"> </w:t>
            </w:r>
            <w:r w:rsidRPr="00B5439B">
              <w:t>to</w:t>
            </w:r>
            <w:r>
              <w:rPr>
                <w:rFonts w:hint="eastAsia"/>
              </w:rPr>
              <w:t xml:space="preserve"> </w:t>
            </w:r>
            <w:r w:rsidRPr="00B5439B">
              <w:t>alter</w:t>
            </w:r>
            <w:r>
              <w:rPr>
                <w:rFonts w:hint="eastAsia"/>
              </w:rPr>
              <w:t xml:space="preserve"> </w:t>
            </w:r>
            <w:r w:rsidRPr="00B5439B">
              <w:t>the</w:t>
            </w:r>
            <w:r>
              <w:rPr>
                <w:rFonts w:hint="eastAsia"/>
              </w:rPr>
              <w:t xml:space="preserve"> </w:t>
            </w:r>
            <w:r w:rsidRPr="00B5439B">
              <w:t>host</w:t>
            </w:r>
            <w:r>
              <w:rPr>
                <w:rFonts w:hint="eastAsia"/>
              </w:rPr>
              <w:t xml:space="preserve"> </w:t>
            </w:r>
            <w:r w:rsidRPr="00B5439B">
              <w:t>genome</w:t>
            </w:r>
            <w:r>
              <w:rPr>
                <w:rFonts w:hint="eastAsia"/>
              </w:rPr>
              <w:t xml:space="preserve"> </w:t>
            </w:r>
            <w:r w:rsidRPr="00B5439B">
              <w:t>for</w:t>
            </w:r>
            <w:r>
              <w:rPr>
                <w:rFonts w:hint="eastAsia"/>
              </w:rPr>
              <w:t xml:space="preserve"> </w:t>
            </w:r>
            <w:r w:rsidRPr="00B5439B">
              <w:t>delivery</w:t>
            </w:r>
            <w:r>
              <w:rPr>
                <w:rFonts w:hint="eastAsia"/>
              </w:rPr>
              <w:t xml:space="preserve"> </w:t>
            </w:r>
            <w:r w:rsidRPr="00B5439B">
              <w:t>to</w:t>
            </w:r>
            <w:r>
              <w:rPr>
                <w:rFonts w:hint="eastAsia"/>
              </w:rPr>
              <w:t xml:space="preserve"> </w:t>
            </w:r>
            <w:r w:rsidRPr="00B5439B">
              <w:t>cells.</w:t>
            </w:r>
            <w:r>
              <w:rPr>
                <w:rFonts w:hint="eastAsia"/>
              </w:rPr>
              <w:t xml:space="preserve"> </w:t>
            </w:r>
            <w:r w:rsidRPr="00B5439B">
              <w:t>They</w:t>
            </w:r>
            <w:r>
              <w:rPr>
                <w:rFonts w:hint="eastAsia"/>
              </w:rPr>
              <w:t xml:space="preserve"> </w:t>
            </w:r>
            <w:r w:rsidRPr="00B5439B">
              <w:t>include</w:t>
            </w:r>
            <w:r>
              <w:rPr>
                <w:rFonts w:hint="eastAsia"/>
              </w:rPr>
              <w:t xml:space="preserve"> </w:t>
            </w:r>
            <w:r w:rsidRPr="00B5439B">
              <w:t>both</w:t>
            </w:r>
            <w:r>
              <w:rPr>
                <w:rFonts w:hint="eastAsia"/>
              </w:rPr>
              <w:t xml:space="preserve"> </w:t>
            </w:r>
            <w:r w:rsidRPr="00B5439B">
              <w:t>genetically</w:t>
            </w:r>
            <w:r>
              <w:rPr>
                <w:rFonts w:hint="eastAsia"/>
              </w:rPr>
              <w:t xml:space="preserve"> </w:t>
            </w:r>
            <w:r w:rsidRPr="00B5439B">
              <w:t>modified</w:t>
            </w:r>
            <w:r>
              <w:rPr>
                <w:rFonts w:hint="eastAsia"/>
              </w:rPr>
              <w:t xml:space="preserve"> </w:t>
            </w:r>
            <w:r w:rsidRPr="00B5439B">
              <w:t>viruses</w:t>
            </w:r>
            <w:r>
              <w:rPr>
                <w:rFonts w:hint="eastAsia"/>
              </w:rPr>
              <w:t xml:space="preserve"> </w:t>
            </w:r>
            <w:r w:rsidRPr="00B5439B">
              <w:t>such</w:t>
            </w:r>
            <w:r>
              <w:rPr>
                <w:rFonts w:hint="eastAsia"/>
              </w:rPr>
              <w:t xml:space="preserve"> </w:t>
            </w:r>
            <w:r w:rsidRPr="00B5439B">
              <w:t>as</w:t>
            </w:r>
            <w:r>
              <w:rPr>
                <w:rFonts w:hint="eastAsia"/>
              </w:rPr>
              <w:t xml:space="preserve"> </w:t>
            </w:r>
            <w:r w:rsidRPr="00B5439B">
              <w:t>adenovirus</w:t>
            </w:r>
            <w:r>
              <w:rPr>
                <w:rFonts w:hint="eastAsia"/>
              </w:rPr>
              <w:t xml:space="preserve"> </w:t>
            </w:r>
            <w:r w:rsidRPr="00B5439B">
              <w:t>or adeno-associated</w:t>
            </w:r>
            <w:r>
              <w:rPr>
                <w:rFonts w:hint="eastAsia"/>
              </w:rPr>
              <w:t xml:space="preserve"> </w:t>
            </w:r>
            <w:r w:rsidRPr="00B5439B">
              <w:t>virus,</w:t>
            </w:r>
            <w:r>
              <w:rPr>
                <w:rFonts w:hint="eastAsia"/>
              </w:rPr>
              <w:t xml:space="preserve"> </w:t>
            </w:r>
            <w:r w:rsidRPr="00B5439B">
              <w:t>and</w:t>
            </w:r>
            <w:r>
              <w:rPr>
                <w:rFonts w:hint="eastAsia"/>
              </w:rPr>
              <w:t xml:space="preserve"> </w:t>
            </w:r>
            <w:r w:rsidRPr="00B5439B">
              <w:t>non-viral</w:t>
            </w:r>
            <w:r>
              <w:rPr>
                <w:rFonts w:hint="eastAsia"/>
              </w:rPr>
              <w:t xml:space="preserve"> </w:t>
            </w:r>
            <w:r w:rsidRPr="00B5439B">
              <w:t>vectors</w:t>
            </w:r>
            <w:r>
              <w:rPr>
                <w:rFonts w:hint="eastAsia"/>
              </w:rPr>
              <w:t xml:space="preserve"> </w:t>
            </w:r>
            <w:r w:rsidRPr="00B5439B">
              <w:t>such</w:t>
            </w:r>
            <w:r>
              <w:rPr>
                <w:rFonts w:hint="eastAsia"/>
              </w:rPr>
              <w:t xml:space="preserve"> </w:t>
            </w:r>
            <w:r w:rsidRPr="00B5439B">
              <w:t>as</w:t>
            </w:r>
            <w:r>
              <w:rPr>
                <w:rFonts w:hint="eastAsia"/>
              </w:rPr>
              <w:t xml:space="preserve"> </w:t>
            </w:r>
            <w:r w:rsidRPr="00B5439B">
              <w:t>plasmids</w:t>
            </w:r>
            <w:r>
              <w:rPr>
                <w:rFonts w:hint="eastAsia"/>
              </w:rPr>
              <w:t xml:space="preserve"> </w:t>
            </w:r>
            <w:r w:rsidRPr="00B5439B">
              <w:t>and</w:t>
            </w:r>
            <w:r>
              <w:rPr>
                <w:rFonts w:hint="eastAsia"/>
              </w:rPr>
              <w:t xml:space="preserve"> </w:t>
            </w:r>
            <w:r w:rsidRPr="00B5439B">
              <w:t>gene</w:t>
            </w:r>
            <w:r>
              <w:rPr>
                <w:rFonts w:hint="eastAsia"/>
              </w:rPr>
              <w:t xml:space="preserve"> </w:t>
            </w:r>
            <w:r w:rsidRPr="00B5439B">
              <w:t>modified</w:t>
            </w:r>
            <w:r>
              <w:rPr>
                <w:rFonts w:hint="eastAsia"/>
              </w:rPr>
              <w:t xml:space="preserve"> </w:t>
            </w:r>
            <w:r w:rsidRPr="00B5439B">
              <w:t>microorganisms,</w:t>
            </w:r>
            <w:r>
              <w:rPr>
                <w:rFonts w:hint="eastAsia"/>
              </w:rPr>
              <w:t xml:space="preserve"> </w:t>
            </w:r>
            <w:r w:rsidRPr="00B5439B">
              <w:t>and</w:t>
            </w:r>
            <w:r>
              <w:rPr>
                <w:rFonts w:hint="eastAsia"/>
              </w:rPr>
              <w:t xml:space="preserve"> </w:t>
            </w:r>
            <w:r w:rsidRPr="00B5439B">
              <w:t>can</w:t>
            </w:r>
            <w:r>
              <w:rPr>
                <w:rFonts w:hint="eastAsia"/>
              </w:rPr>
              <w:t xml:space="preserve"> </w:t>
            </w:r>
            <w:r w:rsidRPr="00B5439B">
              <w:t>include</w:t>
            </w:r>
            <w:r>
              <w:rPr>
                <w:rFonts w:hint="eastAsia"/>
              </w:rPr>
              <w:t xml:space="preserve"> </w:t>
            </w:r>
            <w:r w:rsidRPr="00B5439B">
              <w:t>targeted</w:t>
            </w:r>
            <w:r>
              <w:rPr>
                <w:rFonts w:hint="eastAsia"/>
              </w:rPr>
              <w:t xml:space="preserve"> </w:t>
            </w:r>
            <w:r w:rsidRPr="00B5439B">
              <w:t>nanoparticles</w:t>
            </w:r>
            <w:r>
              <w:rPr>
                <w:rFonts w:hint="eastAsia"/>
              </w:rPr>
              <w:t xml:space="preserve"> </w:t>
            </w:r>
            <w:r w:rsidRPr="00B5439B">
              <w:t>which</w:t>
            </w:r>
            <w:r>
              <w:rPr>
                <w:rFonts w:hint="eastAsia"/>
              </w:rPr>
              <w:t xml:space="preserve"> </w:t>
            </w:r>
            <w:r w:rsidRPr="00B5439B">
              <w:t>have</w:t>
            </w:r>
            <w:r>
              <w:rPr>
                <w:rFonts w:hint="eastAsia"/>
              </w:rPr>
              <w:t xml:space="preserve"> </w:t>
            </w:r>
            <w:r w:rsidRPr="00B5439B">
              <w:t>the</w:t>
            </w:r>
            <w:r>
              <w:rPr>
                <w:rFonts w:hint="eastAsia"/>
              </w:rPr>
              <w:t xml:space="preserve"> </w:t>
            </w:r>
            <w:r w:rsidRPr="00B5439B">
              <w:t>capability</w:t>
            </w:r>
            <w:r>
              <w:rPr>
                <w:rFonts w:hint="eastAsia"/>
              </w:rPr>
              <w:t xml:space="preserve"> </w:t>
            </w:r>
            <w:r w:rsidRPr="00B5439B">
              <w:t>to</w:t>
            </w:r>
            <w:r>
              <w:rPr>
                <w:rFonts w:hint="eastAsia"/>
              </w:rPr>
              <w:t xml:space="preserve"> </w:t>
            </w:r>
            <w:r w:rsidRPr="00B5439B">
              <w:t>transfer</w:t>
            </w:r>
            <w:r>
              <w:rPr>
                <w:rFonts w:hint="eastAsia"/>
              </w:rPr>
              <w:t xml:space="preserve"> </w:t>
            </w:r>
            <w:r w:rsidRPr="00B5439B">
              <w:t>genetic</w:t>
            </w:r>
            <w:r>
              <w:rPr>
                <w:rFonts w:hint="eastAsia"/>
              </w:rPr>
              <w:t xml:space="preserve"> </w:t>
            </w:r>
            <w:r w:rsidRPr="00B5439B">
              <w:t>materials</w:t>
            </w:r>
            <w:r>
              <w:rPr>
                <w:rFonts w:hint="eastAsia"/>
              </w:rPr>
              <w:t xml:space="preserve"> </w:t>
            </w:r>
            <w:r w:rsidRPr="00B5439B">
              <w:t>or</w:t>
            </w:r>
            <w:r>
              <w:rPr>
                <w:rFonts w:hint="eastAsia"/>
              </w:rPr>
              <w:t xml:space="preserve"> </w:t>
            </w:r>
            <w:r w:rsidRPr="00B5439B">
              <w:t>gene</w:t>
            </w:r>
            <w:r>
              <w:rPr>
                <w:rFonts w:hint="eastAsia"/>
              </w:rPr>
              <w:t xml:space="preserve"> </w:t>
            </w:r>
            <w:r w:rsidRPr="00B5439B">
              <w:t>editing</w:t>
            </w:r>
            <w:r>
              <w:rPr>
                <w:rFonts w:hint="eastAsia"/>
              </w:rPr>
              <w:t xml:space="preserve"> </w:t>
            </w:r>
            <w:r w:rsidRPr="00B5439B">
              <w:t>components</w:t>
            </w:r>
            <w:r>
              <w:rPr>
                <w:rFonts w:hint="eastAsia"/>
              </w:rPr>
              <w:t xml:space="preserve"> </w:t>
            </w:r>
            <w:r w:rsidRPr="00B5439B">
              <w:t>to</w:t>
            </w:r>
            <w:r>
              <w:rPr>
                <w:rFonts w:hint="eastAsia"/>
              </w:rPr>
              <w:t xml:space="preserve"> </w:t>
            </w:r>
            <w:r w:rsidRPr="00B5439B">
              <w:t>the</w:t>
            </w:r>
            <w:r>
              <w:rPr>
                <w:rFonts w:hint="eastAsia"/>
              </w:rPr>
              <w:t xml:space="preserve"> </w:t>
            </w:r>
            <w:r w:rsidRPr="00B5439B">
              <w:t>cells.</w:t>
            </w:r>
          </w:p>
        </w:tc>
        <w:tc>
          <w:tcPr>
            <w:tcW w:w="970" w:type="pct"/>
          </w:tcPr>
          <w:p w:rsidR="00CD3475" w:rsidRPr="00B55920" w:rsidRDefault="00CD3475" w:rsidP="005C07A5">
            <w:pPr>
              <w:snapToGrid w:val="0"/>
              <w:spacing w:beforeLines="50" w:before="180" w:afterLines="50" w:after="180" w:line="0" w:lineRule="atLeast"/>
              <w:contextualSpacing/>
              <w:rPr>
                <w:rFonts w:eastAsia="標楷體" w:cstheme="minorHAnsi"/>
                <w:szCs w:val="24"/>
              </w:rPr>
            </w:pPr>
          </w:p>
        </w:tc>
      </w:tr>
      <w:tr w:rsidR="005C07A5" w:rsidRPr="00B55920" w:rsidTr="003368A0">
        <w:tc>
          <w:tcPr>
            <w:tcW w:w="4030" w:type="pct"/>
            <w:gridSpan w:val="3"/>
          </w:tcPr>
          <w:p w:rsidR="005C07A5" w:rsidRPr="003368A0" w:rsidRDefault="005C07A5" w:rsidP="005C07A5">
            <w:pPr>
              <w:autoSpaceDE w:val="0"/>
              <w:autoSpaceDN w:val="0"/>
              <w:adjustRightInd w:val="0"/>
              <w:snapToGrid w:val="0"/>
              <w:spacing w:before="178"/>
              <w:ind w:right="5"/>
              <w:jc w:val="both"/>
              <w:rPr>
                <w:rFonts w:eastAsia="Times New Roman"/>
              </w:rPr>
            </w:pPr>
            <w:r w:rsidRPr="003368A0">
              <w:rPr>
                <w:rFonts w:eastAsia="標楷體" w:cstheme="minorHAnsi"/>
                <w:b/>
                <w:color w:val="FF0000"/>
                <w:sz w:val="28"/>
                <w:szCs w:val="24"/>
              </w:rPr>
              <w:t>REFERENCES</w:t>
            </w:r>
          </w:p>
        </w:tc>
        <w:tc>
          <w:tcPr>
            <w:tcW w:w="970" w:type="pct"/>
          </w:tcPr>
          <w:p w:rsidR="005C07A5" w:rsidRPr="00B55920" w:rsidRDefault="005C07A5" w:rsidP="005C07A5">
            <w:pPr>
              <w:snapToGrid w:val="0"/>
              <w:spacing w:beforeLines="50" w:before="180" w:afterLines="50" w:after="180" w:line="0" w:lineRule="atLeast"/>
              <w:contextualSpacing/>
              <w:rPr>
                <w:rFonts w:eastAsia="標楷體" w:cstheme="minorHAnsi"/>
                <w:szCs w:val="24"/>
              </w:rPr>
            </w:pPr>
          </w:p>
        </w:tc>
      </w:tr>
      <w:tr w:rsidR="005C07A5" w:rsidRPr="00B55920" w:rsidTr="00EB6C26">
        <w:tc>
          <w:tcPr>
            <w:tcW w:w="262" w:type="pct"/>
          </w:tcPr>
          <w:p w:rsidR="005C07A5" w:rsidRPr="00B55920" w:rsidRDefault="005C07A5" w:rsidP="005C07A5">
            <w:pPr>
              <w:snapToGrid w:val="0"/>
              <w:spacing w:beforeLines="50" w:before="180" w:afterLines="50" w:after="180" w:line="0" w:lineRule="atLeast"/>
              <w:contextualSpacing/>
              <w:jc w:val="center"/>
              <w:rPr>
                <w:rFonts w:eastAsia="標楷體" w:cstheme="minorHAnsi"/>
                <w:szCs w:val="24"/>
              </w:rPr>
            </w:pPr>
          </w:p>
        </w:tc>
        <w:tc>
          <w:tcPr>
            <w:tcW w:w="1089" w:type="pct"/>
          </w:tcPr>
          <w:p w:rsidR="005C07A5" w:rsidRPr="00046D1E" w:rsidRDefault="005C07A5" w:rsidP="005C07A5">
            <w:pPr>
              <w:snapToGrid w:val="0"/>
              <w:spacing w:line="0" w:lineRule="atLeast"/>
              <w:contextualSpacing/>
              <w:rPr>
                <w:rFonts w:eastAsia="標楷體" w:cstheme="minorHAnsi"/>
                <w:b/>
                <w:szCs w:val="24"/>
              </w:rPr>
            </w:pPr>
          </w:p>
        </w:tc>
        <w:tc>
          <w:tcPr>
            <w:tcW w:w="2679" w:type="pct"/>
          </w:tcPr>
          <w:p w:rsidR="005C07A5" w:rsidRPr="00502F3C" w:rsidRDefault="003367CE" w:rsidP="005C07A5">
            <w:pPr>
              <w:autoSpaceDE w:val="0"/>
              <w:autoSpaceDN w:val="0"/>
              <w:adjustRightInd w:val="0"/>
              <w:snapToGrid w:val="0"/>
              <w:spacing w:before="178"/>
              <w:ind w:right="5"/>
              <w:jc w:val="both"/>
              <w:rPr>
                <w:rFonts w:hint="eastAsia"/>
              </w:rPr>
            </w:pPr>
            <w:r w:rsidRPr="003367CE">
              <w:rPr>
                <w:rFonts w:eastAsia="Times New Roman"/>
              </w:rPr>
              <w:t>(1) ICH Considerations: General Principles to Address the Risk of Inadvertent Germline Integration of Gene Therapy Vectors, Oct 2006.</w:t>
            </w:r>
          </w:p>
        </w:tc>
        <w:tc>
          <w:tcPr>
            <w:tcW w:w="970" w:type="pct"/>
          </w:tcPr>
          <w:p w:rsidR="005C07A5" w:rsidRPr="00B55920" w:rsidRDefault="005C07A5" w:rsidP="005C07A5">
            <w:pPr>
              <w:snapToGrid w:val="0"/>
              <w:spacing w:beforeLines="50" w:before="180" w:afterLines="50" w:after="180" w:line="0" w:lineRule="atLeast"/>
              <w:contextualSpacing/>
              <w:rPr>
                <w:rFonts w:eastAsia="標楷體" w:cstheme="minorHAnsi"/>
                <w:szCs w:val="24"/>
              </w:rPr>
            </w:pPr>
          </w:p>
        </w:tc>
      </w:tr>
    </w:tbl>
    <w:p w:rsidR="00500945" w:rsidRDefault="00500945"/>
    <w:sectPr w:rsidR="00500945" w:rsidSect="00D56EE3">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58EA" w:rsidRDefault="002E58EA" w:rsidP="00CA6E35">
      <w:r>
        <w:separator/>
      </w:r>
    </w:p>
  </w:endnote>
  <w:endnote w:type="continuationSeparator" w:id="0">
    <w:p w:rsidR="002E58EA" w:rsidRDefault="002E58EA" w:rsidP="00CA6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58EA" w:rsidRDefault="002E58EA" w:rsidP="00CA6E35">
      <w:r>
        <w:separator/>
      </w:r>
    </w:p>
  </w:footnote>
  <w:footnote w:type="continuationSeparator" w:id="0">
    <w:p w:rsidR="002E58EA" w:rsidRDefault="002E58EA" w:rsidP="00CA6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FD25D94"/>
    <w:multiLevelType w:val="hybridMultilevel"/>
    <w:tmpl w:val="BA44E5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86AB2"/>
    <w:multiLevelType w:val="hybridMultilevel"/>
    <w:tmpl w:val="D89C5D4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F66099"/>
    <w:multiLevelType w:val="hybridMultilevel"/>
    <w:tmpl w:val="4DF4E6D0"/>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3" w15:restartNumberingAfterBreak="0">
    <w:nsid w:val="0327145A"/>
    <w:multiLevelType w:val="hybridMultilevel"/>
    <w:tmpl w:val="DC460D20"/>
    <w:lvl w:ilvl="0" w:tplc="301E6D1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56E768A"/>
    <w:multiLevelType w:val="hybridMultilevel"/>
    <w:tmpl w:val="BD12E9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74A5F49"/>
    <w:multiLevelType w:val="hybridMultilevel"/>
    <w:tmpl w:val="8D72CC22"/>
    <w:lvl w:ilvl="0" w:tplc="301E6D1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835012C"/>
    <w:multiLevelType w:val="hybridMultilevel"/>
    <w:tmpl w:val="78363FC2"/>
    <w:lvl w:ilvl="0" w:tplc="0409000F">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9B74FC0"/>
    <w:multiLevelType w:val="hybridMultilevel"/>
    <w:tmpl w:val="5ADE48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9CC09E4"/>
    <w:multiLevelType w:val="hybridMultilevel"/>
    <w:tmpl w:val="263AE0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9DF6ABC"/>
    <w:multiLevelType w:val="hybridMultilevel"/>
    <w:tmpl w:val="71E85F4E"/>
    <w:lvl w:ilvl="0" w:tplc="DB3067C2">
      <w:start w:val="1"/>
      <w:numFmt w:val="lowerLetter"/>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B2E22A7"/>
    <w:multiLevelType w:val="hybridMultilevel"/>
    <w:tmpl w:val="18B437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BC706F2"/>
    <w:multiLevelType w:val="hybridMultilevel"/>
    <w:tmpl w:val="585085CA"/>
    <w:lvl w:ilvl="0" w:tplc="301E6D1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0C304865"/>
    <w:multiLevelType w:val="hybridMultilevel"/>
    <w:tmpl w:val="3F7E307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0CB814DE"/>
    <w:multiLevelType w:val="hybridMultilevel"/>
    <w:tmpl w:val="5C361E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0E1441C5"/>
    <w:multiLevelType w:val="hybridMultilevel"/>
    <w:tmpl w:val="C1D0EA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B716A8B"/>
    <w:multiLevelType w:val="hybridMultilevel"/>
    <w:tmpl w:val="A59E162E"/>
    <w:lvl w:ilvl="0" w:tplc="669E17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BC624CA"/>
    <w:multiLevelType w:val="hybridMultilevel"/>
    <w:tmpl w:val="09BCCD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FDC6480"/>
    <w:multiLevelType w:val="hybridMultilevel"/>
    <w:tmpl w:val="838AC8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0201DF4"/>
    <w:multiLevelType w:val="hybridMultilevel"/>
    <w:tmpl w:val="2904CAB2"/>
    <w:lvl w:ilvl="0" w:tplc="E8D030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7784EEE"/>
    <w:multiLevelType w:val="hybridMultilevel"/>
    <w:tmpl w:val="78363FC2"/>
    <w:lvl w:ilvl="0" w:tplc="0409000F">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2BD3248"/>
    <w:multiLevelType w:val="hybridMultilevel"/>
    <w:tmpl w:val="B860D12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37086F81"/>
    <w:multiLevelType w:val="hybridMultilevel"/>
    <w:tmpl w:val="CC18609A"/>
    <w:lvl w:ilvl="0" w:tplc="301E6D1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39BF1484"/>
    <w:multiLevelType w:val="hybridMultilevel"/>
    <w:tmpl w:val="88AA49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3AC84744"/>
    <w:multiLevelType w:val="hybridMultilevel"/>
    <w:tmpl w:val="5D6E9886"/>
    <w:lvl w:ilvl="0" w:tplc="301E6D1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3D0B0F59"/>
    <w:multiLevelType w:val="hybridMultilevel"/>
    <w:tmpl w:val="17FED364"/>
    <w:lvl w:ilvl="0" w:tplc="301E6D16">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3D9413D1"/>
    <w:multiLevelType w:val="hybridMultilevel"/>
    <w:tmpl w:val="E7A8CA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F0A256B"/>
    <w:multiLevelType w:val="hybridMultilevel"/>
    <w:tmpl w:val="95D208C2"/>
    <w:lvl w:ilvl="0" w:tplc="2486B3C8">
      <w:numFmt w:val="bullet"/>
      <w:lvlText w:val=""/>
      <w:lvlJc w:val="left"/>
      <w:pPr>
        <w:ind w:left="360" w:hanging="360"/>
      </w:pPr>
      <w:rPr>
        <w:rFonts w:ascii="標楷體" w:eastAsia="標楷體" w:hAnsi="標楷體" w:cstheme="minorHAns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45F51BA7"/>
    <w:multiLevelType w:val="hybridMultilevel"/>
    <w:tmpl w:val="0F0CB0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81A3F0F"/>
    <w:multiLevelType w:val="hybridMultilevel"/>
    <w:tmpl w:val="58BA47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9E10316"/>
    <w:multiLevelType w:val="hybridMultilevel"/>
    <w:tmpl w:val="3CA26D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C9063B3"/>
    <w:multiLevelType w:val="hybridMultilevel"/>
    <w:tmpl w:val="42484D78"/>
    <w:lvl w:ilvl="0" w:tplc="301E6D1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2402A4E"/>
    <w:multiLevelType w:val="hybridMultilevel"/>
    <w:tmpl w:val="385469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55060630"/>
    <w:multiLevelType w:val="hybridMultilevel"/>
    <w:tmpl w:val="01042EA8"/>
    <w:lvl w:ilvl="0" w:tplc="DB3067C2">
      <w:start w:val="1"/>
      <w:numFmt w:val="lowerLetter"/>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556D6BF2"/>
    <w:multiLevelType w:val="hybridMultilevel"/>
    <w:tmpl w:val="F48AE8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22903F2"/>
    <w:multiLevelType w:val="hybridMultilevel"/>
    <w:tmpl w:val="2BF813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26D478C"/>
    <w:multiLevelType w:val="hybridMultilevel"/>
    <w:tmpl w:val="1A301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9774747"/>
    <w:multiLevelType w:val="hybridMultilevel"/>
    <w:tmpl w:val="01042EA8"/>
    <w:lvl w:ilvl="0" w:tplc="DB3067C2">
      <w:start w:val="1"/>
      <w:numFmt w:val="lowerLetter"/>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72127F22"/>
    <w:multiLevelType w:val="hybridMultilevel"/>
    <w:tmpl w:val="1ED2C9A2"/>
    <w:lvl w:ilvl="0" w:tplc="301E6D1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760B4E58"/>
    <w:multiLevelType w:val="hybridMultilevel"/>
    <w:tmpl w:val="8132DB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7E1008C2"/>
    <w:multiLevelType w:val="hybridMultilevel"/>
    <w:tmpl w:val="E50E0656"/>
    <w:lvl w:ilvl="0" w:tplc="301E6D1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7F6D4A02"/>
    <w:multiLevelType w:val="hybridMultilevel"/>
    <w:tmpl w:val="B052EEBC"/>
    <w:lvl w:ilvl="0" w:tplc="C09256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25"/>
  </w:num>
  <w:num w:numId="3">
    <w:abstractNumId w:val="17"/>
  </w:num>
  <w:num w:numId="4">
    <w:abstractNumId w:val="6"/>
  </w:num>
  <w:num w:numId="5">
    <w:abstractNumId w:val="19"/>
  </w:num>
  <w:num w:numId="6">
    <w:abstractNumId w:val="33"/>
  </w:num>
  <w:num w:numId="7">
    <w:abstractNumId w:val="9"/>
  </w:num>
  <w:num w:numId="8">
    <w:abstractNumId w:val="36"/>
  </w:num>
  <w:num w:numId="9">
    <w:abstractNumId w:val="32"/>
  </w:num>
  <w:num w:numId="10">
    <w:abstractNumId w:val="34"/>
  </w:num>
  <w:num w:numId="11">
    <w:abstractNumId w:val="16"/>
  </w:num>
  <w:num w:numId="12">
    <w:abstractNumId w:val="7"/>
  </w:num>
  <w:num w:numId="13">
    <w:abstractNumId w:val="29"/>
  </w:num>
  <w:num w:numId="14">
    <w:abstractNumId w:val="23"/>
  </w:num>
  <w:num w:numId="15">
    <w:abstractNumId w:val="3"/>
  </w:num>
  <w:num w:numId="16">
    <w:abstractNumId w:val="37"/>
  </w:num>
  <w:num w:numId="17">
    <w:abstractNumId w:val="1"/>
  </w:num>
  <w:num w:numId="18">
    <w:abstractNumId w:val="0"/>
  </w:num>
  <w:num w:numId="19">
    <w:abstractNumId w:val="39"/>
  </w:num>
  <w:num w:numId="20">
    <w:abstractNumId w:val="4"/>
  </w:num>
  <w:num w:numId="21">
    <w:abstractNumId w:val="15"/>
  </w:num>
  <w:num w:numId="22">
    <w:abstractNumId w:val="30"/>
  </w:num>
  <w:num w:numId="23">
    <w:abstractNumId w:val="26"/>
  </w:num>
  <w:num w:numId="24">
    <w:abstractNumId w:val="10"/>
  </w:num>
  <w:num w:numId="25">
    <w:abstractNumId w:val="28"/>
  </w:num>
  <w:num w:numId="26">
    <w:abstractNumId w:val="14"/>
  </w:num>
  <w:num w:numId="27">
    <w:abstractNumId w:val="24"/>
  </w:num>
  <w:num w:numId="28">
    <w:abstractNumId w:val="21"/>
  </w:num>
  <w:num w:numId="29">
    <w:abstractNumId w:val="11"/>
  </w:num>
  <w:num w:numId="30">
    <w:abstractNumId w:val="5"/>
  </w:num>
  <w:num w:numId="31">
    <w:abstractNumId w:val="35"/>
  </w:num>
  <w:num w:numId="32">
    <w:abstractNumId w:val="8"/>
  </w:num>
  <w:num w:numId="33">
    <w:abstractNumId w:val="38"/>
  </w:num>
  <w:num w:numId="34">
    <w:abstractNumId w:val="12"/>
  </w:num>
  <w:num w:numId="35">
    <w:abstractNumId w:val="31"/>
  </w:num>
  <w:num w:numId="36">
    <w:abstractNumId w:val="13"/>
  </w:num>
  <w:num w:numId="37">
    <w:abstractNumId w:val="20"/>
  </w:num>
  <w:num w:numId="38">
    <w:abstractNumId w:val="2"/>
  </w:num>
  <w:num w:numId="39">
    <w:abstractNumId w:val="22"/>
  </w:num>
  <w:num w:numId="40">
    <w:abstractNumId w:val="27"/>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EE3"/>
    <w:rsid w:val="00005370"/>
    <w:rsid w:val="00013CCB"/>
    <w:rsid w:val="0001585F"/>
    <w:rsid w:val="00015C09"/>
    <w:rsid w:val="00015E6A"/>
    <w:rsid w:val="00040C7B"/>
    <w:rsid w:val="00046D1E"/>
    <w:rsid w:val="00051515"/>
    <w:rsid w:val="0006088D"/>
    <w:rsid w:val="00066040"/>
    <w:rsid w:val="000660E2"/>
    <w:rsid w:val="00075C8F"/>
    <w:rsid w:val="000807B6"/>
    <w:rsid w:val="00096BF1"/>
    <w:rsid w:val="000A70E0"/>
    <w:rsid w:val="000A7599"/>
    <w:rsid w:val="000A7C6D"/>
    <w:rsid w:val="000B023C"/>
    <w:rsid w:val="000B1E82"/>
    <w:rsid w:val="000B2132"/>
    <w:rsid w:val="000B7394"/>
    <w:rsid w:val="000C7FE2"/>
    <w:rsid w:val="000D4A84"/>
    <w:rsid w:val="000E4702"/>
    <w:rsid w:val="00106D1B"/>
    <w:rsid w:val="00106FC1"/>
    <w:rsid w:val="00117962"/>
    <w:rsid w:val="0012080E"/>
    <w:rsid w:val="00133508"/>
    <w:rsid w:val="00134701"/>
    <w:rsid w:val="00136427"/>
    <w:rsid w:val="00136EB3"/>
    <w:rsid w:val="00142E6D"/>
    <w:rsid w:val="0014402C"/>
    <w:rsid w:val="001542FF"/>
    <w:rsid w:val="00187A8E"/>
    <w:rsid w:val="00194FFD"/>
    <w:rsid w:val="001A0218"/>
    <w:rsid w:val="001C1AA1"/>
    <w:rsid w:val="001C2647"/>
    <w:rsid w:val="001D22F4"/>
    <w:rsid w:val="001E02A8"/>
    <w:rsid w:val="001E25AD"/>
    <w:rsid w:val="001E2B41"/>
    <w:rsid w:val="00202EAC"/>
    <w:rsid w:val="00224150"/>
    <w:rsid w:val="00237BAC"/>
    <w:rsid w:val="00241B16"/>
    <w:rsid w:val="002474E2"/>
    <w:rsid w:val="00247FAB"/>
    <w:rsid w:val="0026331E"/>
    <w:rsid w:val="002646F9"/>
    <w:rsid w:val="0026554E"/>
    <w:rsid w:val="00270947"/>
    <w:rsid w:val="00276027"/>
    <w:rsid w:val="002813D1"/>
    <w:rsid w:val="002826D2"/>
    <w:rsid w:val="002A08E3"/>
    <w:rsid w:val="002A40CB"/>
    <w:rsid w:val="002B3AD5"/>
    <w:rsid w:val="002B41D5"/>
    <w:rsid w:val="002C6229"/>
    <w:rsid w:val="002E58EA"/>
    <w:rsid w:val="002F6B5D"/>
    <w:rsid w:val="002F737B"/>
    <w:rsid w:val="0030570F"/>
    <w:rsid w:val="0033097F"/>
    <w:rsid w:val="00330DA3"/>
    <w:rsid w:val="00332E01"/>
    <w:rsid w:val="0033332B"/>
    <w:rsid w:val="003367CE"/>
    <w:rsid w:val="003368A0"/>
    <w:rsid w:val="003436FB"/>
    <w:rsid w:val="00345B3E"/>
    <w:rsid w:val="00350CC3"/>
    <w:rsid w:val="00364080"/>
    <w:rsid w:val="003664D3"/>
    <w:rsid w:val="0036690A"/>
    <w:rsid w:val="00375F75"/>
    <w:rsid w:val="003778E5"/>
    <w:rsid w:val="003B207D"/>
    <w:rsid w:val="003C172D"/>
    <w:rsid w:val="003C4734"/>
    <w:rsid w:val="003C6BA1"/>
    <w:rsid w:val="003D1B24"/>
    <w:rsid w:val="003D2351"/>
    <w:rsid w:val="003E3AA4"/>
    <w:rsid w:val="003E6862"/>
    <w:rsid w:val="003F04F0"/>
    <w:rsid w:val="003F3F35"/>
    <w:rsid w:val="00412492"/>
    <w:rsid w:val="004405B2"/>
    <w:rsid w:val="00444A4F"/>
    <w:rsid w:val="00456A60"/>
    <w:rsid w:val="004641C2"/>
    <w:rsid w:val="00473651"/>
    <w:rsid w:val="004767D5"/>
    <w:rsid w:val="00485AD3"/>
    <w:rsid w:val="004969F2"/>
    <w:rsid w:val="004B270C"/>
    <w:rsid w:val="004B763B"/>
    <w:rsid w:val="004C6500"/>
    <w:rsid w:val="004F525E"/>
    <w:rsid w:val="0050000F"/>
    <w:rsid w:val="00500945"/>
    <w:rsid w:val="00501053"/>
    <w:rsid w:val="00502F3C"/>
    <w:rsid w:val="005133FF"/>
    <w:rsid w:val="00525292"/>
    <w:rsid w:val="0056082A"/>
    <w:rsid w:val="00570508"/>
    <w:rsid w:val="00572325"/>
    <w:rsid w:val="005A33F9"/>
    <w:rsid w:val="005B0292"/>
    <w:rsid w:val="005B5A18"/>
    <w:rsid w:val="005B65AE"/>
    <w:rsid w:val="005C07A5"/>
    <w:rsid w:val="005C140E"/>
    <w:rsid w:val="005C4EB2"/>
    <w:rsid w:val="005D1049"/>
    <w:rsid w:val="005D5D28"/>
    <w:rsid w:val="005D6817"/>
    <w:rsid w:val="005D6928"/>
    <w:rsid w:val="005D7B1E"/>
    <w:rsid w:val="005E1412"/>
    <w:rsid w:val="005E3049"/>
    <w:rsid w:val="005E4F51"/>
    <w:rsid w:val="005F50B8"/>
    <w:rsid w:val="00606FCD"/>
    <w:rsid w:val="00630241"/>
    <w:rsid w:val="00640066"/>
    <w:rsid w:val="00646887"/>
    <w:rsid w:val="006563F8"/>
    <w:rsid w:val="00676F90"/>
    <w:rsid w:val="00693F40"/>
    <w:rsid w:val="006B7164"/>
    <w:rsid w:val="006E221A"/>
    <w:rsid w:val="006E4279"/>
    <w:rsid w:val="006E6584"/>
    <w:rsid w:val="006E6AD3"/>
    <w:rsid w:val="006F70D0"/>
    <w:rsid w:val="00706495"/>
    <w:rsid w:val="00714A8A"/>
    <w:rsid w:val="007224A8"/>
    <w:rsid w:val="007227D4"/>
    <w:rsid w:val="00731C6C"/>
    <w:rsid w:val="00744F5D"/>
    <w:rsid w:val="007572E6"/>
    <w:rsid w:val="00784D6E"/>
    <w:rsid w:val="007949EC"/>
    <w:rsid w:val="007A553D"/>
    <w:rsid w:val="007B5696"/>
    <w:rsid w:val="007C27C9"/>
    <w:rsid w:val="007C43AF"/>
    <w:rsid w:val="007C5275"/>
    <w:rsid w:val="007D3F74"/>
    <w:rsid w:val="007D5390"/>
    <w:rsid w:val="007D559B"/>
    <w:rsid w:val="007E1A82"/>
    <w:rsid w:val="007E3C22"/>
    <w:rsid w:val="007F641A"/>
    <w:rsid w:val="007F661A"/>
    <w:rsid w:val="00813961"/>
    <w:rsid w:val="008328AF"/>
    <w:rsid w:val="00843CE1"/>
    <w:rsid w:val="0084462F"/>
    <w:rsid w:val="008532E0"/>
    <w:rsid w:val="00860712"/>
    <w:rsid w:val="00861217"/>
    <w:rsid w:val="00864496"/>
    <w:rsid w:val="008A3200"/>
    <w:rsid w:val="008A59C8"/>
    <w:rsid w:val="008A6662"/>
    <w:rsid w:val="008B3D2F"/>
    <w:rsid w:val="008B4C83"/>
    <w:rsid w:val="008D4292"/>
    <w:rsid w:val="008E45F6"/>
    <w:rsid w:val="008F0D74"/>
    <w:rsid w:val="008F3548"/>
    <w:rsid w:val="008F4671"/>
    <w:rsid w:val="00901C7B"/>
    <w:rsid w:val="009043D8"/>
    <w:rsid w:val="00914ACF"/>
    <w:rsid w:val="00920785"/>
    <w:rsid w:val="00921AC5"/>
    <w:rsid w:val="00936A16"/>
    <w:rsid w:val="00951553"/>
    <w:rsid w:val="00967B8D"/>
    <w:rsid w:val="00984A7D"/>
    <w:rsid w:val="009C09F4"/>
    <w:rsid w:val="009C11A0"/>
    <w:rsid w:val="009C5738"/>
    <w:rsid w:val="009D13C1"/>
    <w:rsid w:val="009D3545"/>
    <w:rsid w:val="009D71CF"/>
    <w:rsid w:val="009E4CD5"/>
    <w:rsid w:val="009E6797"/>
    <w:rsid w:val="009F2CFD"/>
    <w:rsid w:val="00A00964"/>
    <w:rsid w:val="00A13174"/>
    <w:rsid w:val="00A21AA8"/>
    <w:rsid w:val="00A31C95"/>
    <w:rsid w:val="00A322E9"/>
    <w:rsid w:val="00A3478C"/>
    <w:rsid w:val="00A54E91"/>
    <w:rsid w:val="00A552BD"/>
    <w:rsid w:val="00A6027A"/>
    <w:rsid w:val="00A6099A"/>
    <w:rsid w:val="00A663E5"/>
    <w:rsid w:val="00A71E9B"/>
    <w:rsid w:val="00A81A3E"/>
    <w:rsid w:val="00A8754D"/>
    <w:rsid w:val="00A87CB7"/>
    <w:rsid w:val="00A913DE"/>
    <w:rsid w:val="00A94C8B"/>
    <w:rsid w:val="00AA3C16"/>
    <w:rsid w:val="00AA4054"/>
    <w:rsid w:val="00AB08C7"/>
    <w:rsid w:val="00AC6336"/>
    <w:rsid w:val="00AD4CEA"/>
    <w:rsid w:val="00AD6AC9"/>
    <w:rsid w:val="00AD7122"/>
    <w:rsid w:val="00AE0530"/>
    <w:rsid w:val="00AE36BE"/>
    <w:rsid w:val="00AF0630"/>
    <w:rsid w:val="00B16F9D"/>
    <w:rsid w:val="00B21806"/>
    <w:rsid w:val="00B21DB7"/>
    <w:rsid w:val="00B36C2C"/>
    <w:rsid w:val="00B5422A"/>
    <w:rsid w:val="00B5439B"/>
    <w:rsid w:val="00B55920"/>
    <w:rsid w:val="00BB2D72"/>
    <w:rsid w:val="00BB5044"/>
    <w:rsid w:val="00BC15C5"/>
    <w:rsid w:val="00BC33E2"/>
    <w:rsid w:val="00BD7AB5"/>
    <w:rsid w:val="00BE60BE"/>
    <w:rsid w:val="00BF0C69"/>
    <w:rsid w:val="00C02D65"/>
    <w:rsid w:val="00C154DB"/>
    <w:rsid w:val="00C36049"/>
    <w:rsid w:val="00C62329"/>
    <w:rsid w:val="00C62AB1"/>
    <w:rsid w:val="00C830E6"/>
    <w:rsid w:val="00C8590D"/>
    <w:rsid w:val="00C97154"/>
    <w:rsid w:val="00CA5C76"/>
    <w:rsid w:val="00CA6E35"/>
    <w:rsid w:val="00CA6F2F"/>
    <w:rsid w:val="00CA7B8B"/>
    <w:rsid w:val="00CB39C0"/>
    <w:rsid w:val="00CB645D"/>
    <w:rsid w:val="00CB7CBF"/>
    <w:rsid w:val="00CC0DC9"/>
    <w:rsid w:val="00CD3475"/>
    <w:rsid w:val="00CD52BD"/>
    <w:rsid w:val="00CD5F38"/>
    <w:rsid w:val="00CE00B1"/>
    <w:rsid w:val="00CE6C7D"/>
    <w:rsid w:val="00D0290C"/>
    <w:rsid w:val="00D104AE"/>
    <w:rsid w:val="00D1603C"/>
    <w:rsid w:val="00D23E00"/>
    <w:rsid w:val="00D309E6"/>
    <w:rsid w:val="00D37CD2"/>
    <w:rsid w:val="00D5077D"/>
    <w:rsid w:val="00D54AFE"/>
    <w:rsid w:val="00D56EE3"/>
    <w:rsid w:val="00D77967"/>
    <w:rsid w:val="00DB68D5"/>
    <w:rsid w:val="00DD5A5C"/>
    <w:rsid w:val="00DE2187"/>
    <w:rsid w:val="00DE5861"/>
    <w:rsid w:val="00DF00AB"/>
    <w:rsid w:val="00DF43D2"/>
    <w:rsid w:val="00E1001A"/>
    <w:rsid w:val="00E209B7"/>
    <w:rsid w:val="00E23537"/>
    <w:rsid w:val="00E264C0"/>
    <w:rsid w:val="00E56A2A"/>
    <w:rsid w:val="00E60C51"/>
    <w:rsid w:val="00E80A15"/>
    <w:rsid w:val="00E8473E"/>
    <w:rsid w:val="00EA5376"/>
    <w:rsid w:val="00EA72A5"/>
    <w:rsid w:val="00EB6C26"/>
    <w:rsid w:val="00EC2EBE"/>
    <w:rsid w:val="00ED7D60"/>
    <w:rsid w:val="00F038B2"/>
    <w:rsid w:val="00F412EA"/>
    <w:rsid w:val="00F56256"/>
    <w:rsid w:val="00F56E53"/>
    <w:rsid w:val="00F61823"/>
    <w:rsid w:val="00F73BF1"/>
    <w:rsid w:val="00F76EE4"/>
    <w:rsid w:val="00F8565B"/>
    <w:rsid w:val="00F9606A"/>
    <w:rsid w:val="00FA1DB6"/>
    <w:rsid w:val="00FB63CF"/>
    <w:rsid w:val="00FC1CD9"/>
    <w:rsid w:val="00FC5BB4"/>
    <w:rsid w:val="00FD05A3"/>
    <w:rsid w:val="00FD33CB"/>
    <w:rsid w:val="00FE1AD5"/>
    <w:rsid w:val="00FE5D79"/>
    <w:rsid w:val="00FE6A70"/>
    <w:rsid w:val="00FF4B93"/>
    <w:rsid w:val="00FF6F20"/>
    <w:rsid w:val="00FF7B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BB5B2"/>
  <w15:docId w15:val="{41A7066C-496A-47C6-BD42-71D3BE032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6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E35"/>
    <w:pPr>
      <w:tabs>
        <w:tab w:val="center" w:pos="4153"/>
        <w:tab w:val="right" w:pos="8306"/>
      </w:tabs>
      <w:snapToGrid w:val="0"/>
    </w:pPr>
    <w:rPr>
      <w:sz w:val="20"/>
      <w:szCs w:val="20"/>
    </w:rPr>
  </w:style>
  <w:style w:type="character" w:customStyle="1" w:styleId="a5">
    <w:name w:val="頁首 字元"/>
    <w:basedOn w:val="a0"/>
    <w:link w:val="a4"/>
    <w:uiPriority w:val="99"/>
    <w:rsid w:val="00CA6E35"/>
    <w:rPr>
      <w:sz w:val="20"/>
      <w:szCs w:val="20"/>
    </w:rPr>
  </w:style>
  <w:style w:type="paragraph" w:styleId="a6">
    <w:name w:val="footer"/>
    <w:basedOn w:val="a"/>
    <w:link w:val="a7"/>
    <w:uiPriority w:val="99"/>
    <w:unhideWhenUsed/>
    <w:rsid w:val="00CA6E35"/>
    <w:pPr>
      <w:tabs>
        <w:tab w:val="center" w:pos="4153"/>
        <w:tab w:val="right" w:pos="8306"/>
      </w:tabs>
      <w:snapToGrid w:val="0"/>
    </w:pPr>
    <w:rPr>
      <w:sz w:val="20"/>
      <w:szCs w:val="20"/>
    </w:rPr>
  </w:style>
  <w:style w:type="character" w:customStyle="1" w:styleId="a7">
    <w:name w:val="頁尾 字元"/>
    <w:basedOn w:val="a0"/>
    <w:link w:val="a6"/>
    <w:uiPriority w:val="99"/>
    <w:rsid w:val="00CA6E35"/>
    <w:rPr>
      <w:sz w:val="20"/>
      <w:szCs w:val="20"/>
    </w:rPr>
  </w:style>
  <w:style w:type="paragraph" w:styleId="a8">
    <w:name w:val="List Paragraph"/>
    <w:basedOn w:val="a"/>
    <w:uiPriority w:val="34"/>
    <w:qFormat/>
    <w:rsid w:val="00F56256"/>
    <w:pPr>
      <w:ind w:leftChars="200" w:left="480"/>
    </w:pPr>
  </w:style>
  <w:style w:type="paragraph" w:styleId="a9">
    <w:name w:val="Balloon Text"/>
    <w:basedOn w:val="a"/>
    <w:link w:val="aa"/>
    <w:uiPriority w:val="99"/>
    <w:semiHidden/>
    <w:unhideWhenUsed/>
    <w:rsid w:val="007F661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F661A"/>
    <w:rPr>
      <w:rFonts w:asciiTheme="majorHAnsi" w:eastAsiaTheme="majorEastAsia" w:hAnsiTheme="majorHAnsi" w:cstheme="majorBidi"/>
      <w:sz w:val="18"/>
      <w:szCs w:val="18"/>
    </w:rPr>
  </w:style>
  <w:style w:type="paragraph" w:customStyle="1" w:styleId="Default">
    <w:name w:val="Default"/>
    <w:rsid w:val="00CD52BD"/>
    <w:pPr>
      <w:widowControl w:val="0"/>
      <w:autoSpaceDE w:val="0"/>
      <w:autoSpaceDN w:val="0"/>
      <w:adjustRightInd w:val="0"/>
    </w:pPr>
    <w:rPr>
      <w:rFonts w:ascii="Times New Roman" w:hAnsi="Times New Roman" w:cs="Times New Roman"/>
      <w:color w:val="000000"/>
      <w:kern w:val="0"/>
      <w:szCs w:val="24"/>
    </w:rPr>
  </w:style>
  <w:style w:type="character" w:styleId="ab">
    <w:name w:val="Hyperlink"/>
    <w:basedOn w:val="a0"/>
    <w:uiPriority w:val="99"/>
    <w:unhideWhenUsed/>
    <w:rsid w:val="003057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21EA2-E7E7-4CF3-8CE8-FFDC9F0C1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10</Pages>
  <Words>3400</Words>
  <Characters>19385</Characters>
  <Application>Microsoft Office Word</Application>
  <DocSecurity>0</DocSecurity>
  <Lines>161</Lines>
  <Paragraphs>45</Paragraphs>
  <ScaleCrop>false</ScaleCrop>
  <Company/>
  <LinksUpToDate>false</LinksUpToDate>
  <CharactersWithSpaces>22740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郭奕靚</dc:creator>
  <cp:lastModifiedBy>黃寶萱</cp:lastModifiedBy>
  <cp:revision>49</cp:revision>
  <cp:lastPrinted>2020-09-01T05:48:00Z</cp:lastPrinted>
  <dcterms:created xsi:type="dcterms:W3CDTF">2021-06-17T01:14:00Z</dcterms:created>
  <dcterms:modified xsi:type="dcterms:W3CDTF">2021-06-17T08:35:00Z</dcterms:modified>
</cp:coreProperties>
</file>