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FCD" w:rsidRPr="00136427" w:rsidRDefault="00D56EE3" w:rsidP="001C1AA1">
      <w:pPr>
        <w:jc w:val="center"/>
        <w:rPr>
          <w:b/>
          <w:sz w:val="28"/>
          <w:szCs w:val="28"/>
        </w:rPr>
      </w:pPr>
      <w:r w:rsidRPr="00136427">
        <w:rPr>
          <w:b/>
          <w:sz w:val="28"/>
          <w:szCs w:val="28"/>
        </w:rPr>
        <w:t>ICH HARMONISED GUIDELINE</w:t>
      </w:r>
    </w:p>
    <w:p w:rsidR="00136427" w:rsidRDefault="00136427" w:rsidP="001C1AA1">
      <w:pPr>
        <w:jc w:val="center"/>
        <w:rPr>
          <w:b/>
          <w:bCs/>
          <w:sz w:val="28"/>
          <w:szCs w:val="32"/>
        </w:rPr>
      </w:pPr>
      <w:r w:rsidRPr="00136427">
        <w:rPr>
          <w:sz w:val="22"/>
        </w:rPr>
        <w:t xml:space="preserve"> </w:t>
      </w:r>
      <w:r w:rsidRPr="00136427">
        <w:rPr>
          <w:b/>
          <w:bCs/>
          <w:sz w:val="28"/>
          <w:szCs w:val="32"/>
        </w:rPr>
        <w:t xml:space="preserve">ICH </w:t>
      </w:r>
      <w:r w:rsidR="0014402C">
        <w:rPr>
          <w:b/>
          <w:bCs/>
          <w:sz w:val="28"/>
          <w:szCs w:val="32"/>
        </w:rPr>
        <w:t>Q3D</w:t>
      </w:r>
      <w:r w:rsidR="00813961">
        <w:rPr>
          <w:b/>
          <w:bCs/>
          <w:sz w:val="28"/>
          <w:szCs w:val="32"/>
        </w:rPr>
        <w:t xml:space="preserve"> (R2)</w:t>
      </w:r>
      <w:r w:rsidRPr="00136427">
        <w:rPr>
          <w:b/>
          <w:bCs/>
          <w:sz w:val="28"/>
          <w:szCs w:val="32"/>
        </w:rPr>
        <w:t xml:space="preserve">: </w:t>
      </w:r>
      <w:r w:rsidR="0014402C">
        <w:rPr>
          <w:b/>
          <w:bCs/>
          <w:sz w:val="28"/>
          <w:szCs w:val="32"/>
        </w:rPr>
        <w:t>Guideline for Elemental Impurities</w:t>
      </w:r>
    </w:p>
    <w:p w:rsidR="00D56EE3" w:rsidRPr="001C1AA1" w:rsidRDefault="0014402C" w:rsidP="001C1AA1">
      <w:pPr>
        <w:jc w:val="center"/>
        <w:rPr>
          <w:b/>
          <w:sz w:val="28"/>
          <w:szCs w:val="28"/>
        </w:rPr>
      </w:pPr>
      <w:r w:rsidRPr="001C1AA1">
        <w:rPr>
          <w:rFonts w:hint="eastAsia"/>
          <w:b/>
          <w:sz w:val="28"/>
          <w:szCs w:val="28"/>
        </w:rPr>
        <w:t xml:space="preserve"> </w:t>
      </w:r>
      <w:r w:rsidR="00D56EE3" w:rsidRPr="001C1AA1">
        <w:rPr>
          <w:rFonts w:hint="eastAsia"/>
          <w:b/>
          <w:sz w:val="28"/>
          <w:szCs w:val="28"/>
        </w:rPr>
        <w:t>(</w:t>
      </w:r>
      <w:r w:rsidR="00D56EE3" w:rsidRPr="001C1AA1">
        <w:rPr>
          <w:b/>
          <w:sz w:val="28"/>
          <w:szCs w:val="28"/>
        </w:rPr>
        <w:t>Draft version</w:t>
      </w:r>
      <w:r w:rsidR="00D56EE3" w:rsidRPr="001C1AA1">
        <w:rPr>
          <w:rFonts w:hint="eastAsia"/>
          <w:b/>
          <w:sz w:val="28"/>
          <w:szCs w:val="28"/>
        </w:rPr>
        <w:t xml:space="preserve">, </w:t>
      </w:r>
      <w:r w:rsidR="00D56EE3" w:rsidRPr="001C1AA1">
        <w:rPr>
          <w:b/>
          <w:sz w:val="28"/>
          <w:szCs w:val="28"/>
        </w:rPr>
        <w:t>Endorsed on</w:t>
      </w:r>
      <w:r w:rsidR="00D56EE3" w:rsidRPr="00005370">
        <w:rPr>
          <w:b/>
          <w:color w:val="000000" w:themeColor="text1"/>
          <w:sz w:val="28"/>
          <w:szCs w:val="28"/>
        </w:rPr>
        <w:t xml:space="preserve"> </w:t>
      </w:r>
      <w:r>
        <w:rPr>
          <w:rFonts w:cstheme="minorHAnsi"/>
          <w:b/>
          <w:sz w:val="28"/>
        </w:rPr>
        <w:t>September</w:t>
      </w:r>
      <w:r w:rsidR="00136427" w:rsidRPr="00136427">
        <w:rPr>
          <w:b/>
          <w:color w:val="000000" w:themeColor="text1"/>
          <w:sz w:val="32"/>
          <w:szCs w:val="28"/>
        </w:rPr>
        <w:t xml:space="preserve"> </w:t>
      </w:r>
      <w:r>
        <w:rPr>
          <w:b/>
          <w:color w:val="000000" w:themeColor="text1"/>
          <w:sz w:val="28"/>
          <w:szCs w:val="28"/>
        </w:rPr>
        <w:t>25</w:t>
      </w:r>
      <w:r w:rsidR="00813961">
        <w:rPr>
          <w:b/>
          <w:color w:val="000000" w:themeColor="text1"/>
          <w:sz w:val="28"/>
          <w:szCs w:val="28"/>
        </w:rPr>
        <w:t xml:space="preserve">, </w:t>
      </w:r>
      <w:r w:rsidR="00AA3C16" w:rsidRPr="00005370">
        <w:rPr>
          <w:b/>
          <w:color w:val="000000" w:themeColor="text1"/>
          <w:sz w:val="28"/>
          <w:szCs w:val="28"/>
        </w:rPr>
        <w:t>2020</w:t>
      </w:r>
      <w:r w:rsidR="00D56EE3" w:rsidRPr="00005370">
        <w:rPr>
          <w:rFonts w:hint="eastAsia"/>
          <w:b/>
          <w:color w:val="000000" w:themeColor="text1"/>
          <w:sz w:val="28"/>
          <w:szCs w:val="28"/>
        </w:rPr>
        <w:t>)</w:t>
      </w:r>
      <w:r w:rsidR="00D56EE3" w:rsidRPr="00005370">
        <w:rPr>
          <w:b/>
          <w:color w:val="000000" w:themeColor="text1"/>
          <w:sz w:val="28"/>
          <w:szCs w:val="28"/>
        </w:rPr>
        <w:cr/>
      </w:r>
      <w:r w:rsidR="00D56EE3" w:rsidRPr="00630241">
        <w:rPr>
          <w:rFonts w:ascii="微軟正黑體" w:eastAsia="微軟正黑體" w:hAnsi="微軟正黑體" w:hint="eastAsia"/>
          <w:b/>
          <w:sz w:val="28"/>
          <w:szCs w:val="28"/>
        </w:rPr>
        <w:t>指引意見彙整表</w:t>
      </w:r>
    </w:p>
    <w:tbl>
      <w:tblPr>
        <w:tblStyle w:val="a3"/>
        <w:tblW w:w="5000" w:type="pct"/>
        <w:tblLayout w:type="fixed"/>
        <w:tblLook w:val="04A0" w:firstRow="1" w:lastRow="0" w:firstColumn="1" w:lastColumn="0" w:noHBand="0" w:noVBand="1"/>
      </w:tblPr>
      <w:tblGrid>
        <w:gridCol w:w="818"/>
        <w:gridCol w:w="3401"/>
        <w:gridCol w:w="8366"/>
        <w:gridCol w:w="3029"/>
      </w:tblGrid>
      <w:tr w:rsidR="00D56EE3" w:rsidRPr="00B55920" w:rsidTr="00525292">
        <w:trPr>
          <w:trHeight w:val="244"/>
        </w:trPr>
        <w:tc>
          <w:tcPr>
            <w:tcW w:w="262" w:type="pct"/>
            <w:vAlign w:val="center"/>
          </w:tcPr>
          <w:p w:rsidR="00D56EE3" w:rsidRPr="00B55920" w:rsidRDefault="00D56EE3" w:rsidP="00525292">
            <w:pPr>
              <w:snapToGrid w:val="0"/>
              <w:spacing w:beforeLines="50" w:before="180" w:afterLines="50" w:after="180" w:line="0" w:lineRule="atLeast"/>
              <w:contextualSpacing/>
              <w:jc w:val="center"/>
              <w:rPr>
                <w:rFonts w:ascii="微軟正黑體" w:eastAsia="微軟正黑體" w:hAnsi="微軟正黑體" w:cstheme="minorHAnsi"/>
                <w:szCs w:val="24"/>
              </w:rPr>
            </w:pPr>
            <w:r w:rsidRPr="00B55920">
              <w:rPr>
                <w:rFonts w:ascii="微軟正黑體" w:eastAsia="微軟正黑體" w:hAnsi="微軟正黑體" w:cstheme="minorHAnsi"/>
                <w:szCs w:val="24"/>
              </w:rPr>
              <w:t>段落</w:t>
            </w:r>
          </w:p>
        </w:tc>
        <w:tc>
          <w:tcPr>
            <w:tcW w:w="1089" w:type="pct"/>
            <w:vAlign w:val="center"/>
          </w:tcPr>
          <w:p w:rsidR="00D56EE3" w:rsidRPr="00B55920" w:rsidRDefault="0084462F" w:rsidP="00525292">
            <w:pPr>
              <w:snapToGrid w:val="0"/>
              <w:spacing w:beforeLines="50" w:before="180" w:afterLines="50" w:after="180" w:line="0" w:lineRule="atLeast"/>
              <w:contextualSpacing/>
              <w:jc w:val="center"/>
              <w:rPr>
                <w:rFonts w:ascii="微軟正黑體" w:eastAsia="微軟正黑體" w:hAnsi="微軟正黑體" w:cstheme="minorHAnsi"/>
                <w:szCs w:val="24"/>
              </w:rPr>
            </w:pPr>
            <w:r>
              <w:rPr>
                <w:rFonts w:ascii="微軟正黑體" w:eastAsia="微軟正黑體" w:hAnsi="微軟正黑體" w:cstheme="minorHAnsi" w:hint="eastAsia"/>
                <w:szCs w:val="24"/>
              </w:rPr>
              <w:t>標題</w:t>
            </w:r>
          </w:p>
        </w:tc>
        <w:tc>
          <w:tcPr>
            <w:tcW w:w="2679" w:type="pct"/>
            <w:vAlign w:val="center"/>
          </w:tcPr>
          <w:p w:rsidR="00D56EE3" w:rsidRPr="006B7164" w:rsidRDefault="00C97154" w:rsidP="00525292">
            <w:pPr>
              <w:snapToGrid w:val="0"/>
              <w:spacing w:beforeLines="50" w:before="180" w:afterLines="50" w:after="180" w:line="0" w:lineRule="atLeast"/>
              <w:contextualSpacing/>
              <w:jc w:val="center"/>
              <w:rPr>
                <w:rFonts w:eastAsia="標楷體" w:cstheme="minorHAnsi"/>
                <w:b/>
                <w:szCs w:val="24"/>
              </w:rPr>
            </w:pPr>
            <w:r>
              <w:rPr>
                <w:rFonts w:ascii="微軟正黑體" w:eastAsia="微軟正黑體" w:hAnsi="微軟正黑體" w:cstheme="minorHAnsi" w:hint="eastAsia"/>
                <w:szCs w:val="24"/>
              </w:rPr>
              <w:t>內文</w:t>
            </w:r>
            <w:r w:rsidR="00F56E53" w:rsidRPr="00B55920">
              <w:rPr>
                <w:rFonts w:ascii="微軟正黑體" w:eastAsia="微軟正黑體" w:hAnsi="微軟正黑體" w:cstheme="minorHAnsi"/>
                <w:szCs w:val="24"/>
              </w:rPr>
              <w:t xml:space="preserve"> </w:t>
            </w:r>
            <w:r w:rsidR="001C1AA1" w:rsidRPr="00B55920">
              <w:rPr>
                <w:rFonts w:ascii="微軟正黑體" w:eastAsia="微軟正黑體" w:hAnsi="微軟正黑體" w:cstheme="minorHAnsi"/>
                <w:szCs w:val="24"/>
              </w:rPr>
              <w:t>(摘</w:t>
            </w:r>
            <w:r w:rsidR="001C1AA1" w:rsidRPr="002474E2">
              <w:rPr>
                <w:rFonts w:ascii="微軟正黑體" w:eastAsia="微軟正黑體" w:hAnsi="微軟正黑體" w:cstheme="minorHAnsi"/>
                <w:szCs w:val="24"/>
              </w:rPr>
              <w:t>自</w:t>
            </w:r>
            <w:r w:rsidR="002474E2" w:rsidRPr="002474E2">
              <w:rPr>
                <w:bCs/>
                <w:sz w:val="28"/>
                <w:szCs w:val="32"/>
              </w:rPr>
              <w:t xml:space="preserve">Q3D (R2) </w:t>
            </w:r>
            <w:r w:rsidR="001C1AA1" w:rsidRPr="002474E2">
              <w:rPr>
                <w:rFonts w:ascii="微軟正黑體" w:eastAsia="微軟正黑體" w:hAnsi="微軟正黑體" w:cstheme="minorHAnsi"/>
                <w:szCs w:val="24"/>
              </w:rPr>
              <w:t>dr</w:t>
            </w:r>
            <w:r w:rsidR="001C1AA1" w:rsidRPr="00B55920">
              <w:rPr>
                <w:rFonts w:ascii="微軟正黑體" w:eastAsia="微軟正黑體" w:hAnsi="微軟正黑體" w:cstheme="minorHAnsi"/>
                <w:szCs w:val="24"/>
              </w:rPr>
              <w:t xml:space="preserve">aft </w:t>
            </w:r>
            <w:r w:rsidR="002474E2">
              <w:rPr>
                <w:rFonts w:ascii="微軟正黑體" w:eastAsia="微軟正黑體" w:hAnsi="微軟正黑體" w:cstheme="minorHAnsi"/>
                <w:szCs w:val="24"/>
              </w:rPr>
              <w:t>g</w:t>
            </w:r>
            <w:r w:rsidR="002474E2" w:rsidRPr="002474E2">
              <w:rPr>
                <w:rFonts w:ascii="微軟正黑體" w:eastAsia="微軟正黑體" w:hAnsi="微軟正黑體" w:cstheme="minorHAnsi"/>
                <w:szCs w:val="24"/>
              </w:rPr>
              <w:t>uideline</w:t>
            </w:r>
            <w:r w:rsidR="001C1AA1" w:rsidRPr="00B55920">
              <w:rPr>
                <w:rFonts w:ascii="微軟正黑體" w:eastAsia="微軟正黑體" w:hAnsi="微軟正黑體" w:cstheme="minorHAnsi"/>
                <w:szCs w:val="24"/>
              </w:rPr>
              <w:t>，仍以ICH文件為準)</w:t>
            </w:r>
          </w:p>
        </w:tc>
        <w:tc>
          <w:tcPr>
            <w:tcW w:w="970" w:type="pct"/>
            <w:vAlign w:val="center"/>
          </w:tcPr>
          <w:p w:rsidR="00D56EE3" w:rsidRPr="00B55920" w:rsidRDefault="00D56EE3" w:rsidP="00525292">
            <w:pPr>
              <w:snapToGrid w:val="0"/>
              <w:spacing w:beforeLines="50" w:before="180" w:afterLines="50" w:after="180" w:line="0" w:lineRule="atLeast"/>
              <w:contextualSpacing/>
              <w:jc w:val="center"/>
              <w:rPr>
                <w:rFonts w:ascii="微軟正黑體" w:eastAsia="微軟正黑體" w:hAnsi="微軟正黑體" w:cstheme="minorHAnsi"/>
                <w:szCs w:val="24"/>
              </w:rPr>
            </w:pPr>
            <w:r w:rsidRPr="00B55920">
              <w:rPr>
                <w:rFonts w:ascii="微軟正黑體" w:eastAsia="微軟正黑體" w:hAnsi="微軟正黑體" w:cstheme="minorHAnsi"/>
                <w:szCs w:val="24"/>
              </w:rPr>
              <w:t>相關建議及意見</w:t>
            </w:r>
          </w:p>
          <w:p w:rsidR="00D56EE3" w:rsidRPr="00B55920" w:rsidRDefault="00D56EE3" w:rsidP="00525292">
            <w:pPr>
              <w:snapToGrid w:val="0"/>
              <w:spacing w:beforeLines="50" w:before="180" w:afterLines="50" w:after="180" w:line="0" w:lineRule="atLeast"/>
              <w:contextualSpacing/>
              <w:jc w:val="center"/>
              <w:rPr>
                <w:rFonts w:ascii="微軟正黑體" w:eastAsia="微軟正黑體" w:hAnsi="微軟正黑體" w:cstheme="minorHAnsi"/>
                <w:szCs w:val="24"/>
              </w:rPr>
            </w:pPr>
            <w:r w:rsidRPr="00B55920">
              <w:rPr>
                <w:rFonts w:ascii="微軟正黑體" w:eastAsia="微軟正黑體" w:hAnsi="微軟正黑體" w:cstheme="minorHAnsi"/>
                <w:szCs w:val="24"/>
              </w:rPr>
              <w:t>(請提供中英文內容)</w:t>
            </w:r>
          </w:p>
        </w:tc>
      </w:tr>
      <w:tr w:rsidR="007D3F74" w:rsidRPr="00B55920" w:rsidTr="00FB63CF">
        <w:tc>
          <w:tcPr>
            <w:tcW w:w="5000" w:type="pct"/>
            <w:gridSpan w:val="4"/>
            <w:vAlign w:val="center"/>
          </w:tcPr>
          <w:p w:rsidR="006B7164" w:rsidRDefault="00500945" w:rsidP="00525292">
            <w:pPr>
              <w:snapToGrid w:val="0"/>
              <w:spacing w:beforeLines="50" w:before="180" w:afterLines="50" w:after="180" w:line="0" w:lineRule="atLeast"/>
              <w:contextualSpacing/>
              <w:jc w:val="both"/>
              <w:rPr>
                <w:rFonts w:eastAsia="標楷體" w:cstheme="minorHAnsi"/>
                <w:b/>
                <w:sz w:val="28"/>
                <w:szCs w:val="24"/>
                <w:u w:val="single"/>
              </w:rPr>
            </w:pPr>
            <w:r w:rsidRPr="007572E6">
              <w:rPr>
                <w:rFonts w:eastAsia="標楷體" w:cstheme="minorHAnsi"/>
                <w:b/>
                <w:color w:val="FF0000"/>
                <w:sz w:val="28"/>
                <w:szCs w:val="24"/>
              </w:rPr>
              <w:t xml:space="preserve">1. </w:t>
            </w:r>
            <w:r w:rsidR="00106D1B" w:rsidRPr="007572E6">
              <w:rPr>
                <w:rFonts w:eastAsia="標楷體" w:cstheme="minorHAnsi"/>
                <w:b/>
                <w:color w:val="FF0000"/>
                <w:sz w:val="28"/>
                <w:szCs w:val="24"/>
              </w:rPr>
              <w:t xml:space="preserve">Part 1 - Q3D Appendix 2 Extract – Correction of </w:t>
            </w:r>
            <w:r w:rsidR="00106D1B" w:rsidRPr="007572E6">
              <w:rPr>
                <w:rFonts w:eastAsia="標楷體" w:cstheme="minorHAnsi"/>
                <w:b/>
                <w:color w:val="FF0000"/>
                <w:sz w:val="28"/>
                <w:szCs w:val="24"/>
                <w:u w:val="single"/>
              </w:rPr>
              <w:t>PDEs for Gold, Silver and Nickel</w:t>
            </w:r>
          </w:p>
          <w:p w:rsidR="006B7164" w:rsidRPr="006B7164" w:rsidRDefault="006B7164" w:rsidP="00525292">
            <w:pPr>
              <w:snapToGrid w:val="0"/>
              <w:spacing w:beforeLines="50" w:before="180" w:afterLines="50" w:after="180" w:line="0" w:lineRule="atLeast"/>
              <w:contextualSpacing/>
              <w:jc w:val="both"/>
              <w:rPr>
                <w:rFonts w:eastAsia="標楷體" w:cstheme="minorHAnsi"/>
                <w:color w:val="FF0000"/>
                <w:sz w:val="28"/>
                <w:szCs w:val="24"/>
              </w:rPr>
            </w:pPr>
            <w:r w:rsidRPr="006B7164">
              <w:rPr>
                <w:rFonts w:eastAsia="標楷體" w:cstheme="minorHAnsi"/>
                <w:color w:val="FF0000"/>
                <w:sz w:val="28"/>
                <w:szCs w:val="24"/>
              </w:rPr>
              <w:t>Changes proposed to Appendix 2 are shown in track change, an</w:t>
            </w:r>
            <w:r>
              <w:rPr>
                <w:rFonts w:eastAsia="標楷體" w:cstheme="minorHAnsi"/>
                <w:color w:val="FF0000"/>
                <w:sz w:val="28"/>
                <w:szCs w:val="24"/>
              </w:rPr>
              <w:t>d are intended to be integrated</w:t>
            </w:r>
            <w:r>
              <w:rPr>
                <w:rFonts w:eastAsia="標楷體" w:cstheme="minorHAnsi" w:hint="eastAsia"/>
                <w:color w:val="FF0000"/>
                <w:sz w:val="28"/>
                <w:szCs w:val="24"/>
              </w:rPr>
              <w:t xml:space="preserve"> </w:t>
            </w:r>
            <w:r w:rsidRPr="006B7164">
              <w:rPr>
                <w:rFonts w:eastAsia="標楷體" w:cstheme="minorHAnsi"/>
                <w:color w:val="FF0000"/>
                <w:sz w:val="28"/>
                <w:szCs w:val="24"/>
              </w:rPr>
              <w:t>into the Q3D(R2) Guideline</w:t>
            </w:r>
          </w:p>
        </w:tc>
      </w:tr>
      <w:tr w:rsidR="001E2B41" w:rsidRPr="00B55920" w:rsidTr="001E2B41">
        <w:trPr>
          <w:trHeight w:val="138"/>
        </w:trPr>
        <w:tc>
          <w:tcPr>
            <w:tcW w:w="262" w:type="pct"/>
          </w:tcPr>
          <w:p w:rsidR="001E2B41" w:rsidRPr="00B55920" w:rsidRDefault="001E2B41" w:rsidP="00F9606A">
            <w:pPr>
              <w:snapToGrid w:val="0"/>
              <w:spacing w:line="0" w:lineRule="atLeast"/>
              <w:contextualSpacing/>
              <w:jc w:val="center"/>
              <w:rPr>
                <w:rFonts w:eastAsia="標楷體" w:cstheme="minorHAnsi"/>
                <w:szCs w:val="24"/>
              </w:rPr>
            </w:pPr>
          </w:p>
        </w:tc>
        <w:tc>
          <w:tcPr>
            <w:tcW w:w="3768" w:type="pct"/>
            <w:gridSpan w:val="2"/>
          </w:tcPr>
          <w:p w:rsidR="001E2B41" w:rsidRPr="00A31C95" w:rsidRDefault="001E2B41" w:rsidP="00F9606A">
            <w:pPr>
              <w:snapToGrid w:val="0"/>
              <w:spacing w:line="0" w:lineRule="atLeast"/>
              <w:jc w:val="both"/>
              <w:rPr>
                <w:rFonts w:eastAsia="標楷體" w:cstheme="minorHAnsi"/>
                <w:b/>
                <w:szCs w:val="24"/>
              </w:rPr>
            </w:pPr>
            <w:r w:rsidRPr="00A31C95">
              <w:rPr>
                <w:rFonts w:eastAsia="標楷體" w:cstheme="minorHAnsi"/>
                <w:b/>
                <w:szCs w:val="24"/>
              </w:rPr>
              <w:t>Appendix 2:</w:t>
            </w:r>
            <w:r w:rsidR="00A31C95">
              <w:rPr>
                <w:rFonts w:eastAsia="標楷體" w:cstheme="minorHAnsi"/>
                <w:b/>
                <w:szCs w:val="24"/>
              </w:rPr>
              <w:t xml:space="preserve"> Established PDEs for Elemental</w:t>
            </w:r>
            <w:r w:rsidRPr="00A31C95">
              <w:rPr>
                <w:rFonts w:eastAsia="標楷體" w:cstheme="minorHAnsi"/>
                <w:b/>
                <w:szCs w:val="24"/>
              </w:rPr>
              <w:t xml:space="preserve"> Impurities</w:t>
            </w:r>
          </w:p>
        </w:tc>
        <w:tc>
          <w:tcPr>
            <w:tcW w:w="970" w:type="pct"/>
          </w:tcPr>
          <w:p w:rsidR="001E2B41" w:rsidRPr="00B55920" w:rsidRDefault="001E2B41" w:rsidP="00F9606A">
            <w:pPr>
              <w:snapToGrid w:val="0"/>
              <w:spacing w:line="0" w:lineRule="atLeast"/>
              <w:contextualSpacing/>
              <w:rPr>
                <w:rFonts w:eastAsia="標楷體" w:cstheme="minorHAnsi"/>
                <w:szCs w:val="24"/>
              </w:rPr>
            </w:pPr>
          </w:p>
        </w:tc>
      </w:tr>
      <w:tr w:rsidR="00FF6F20" w:rsidRPr="00B55920" w:rsidTr="00EB6C26">
        <w:trPr>
          <w:trHeight w:val="1412"/>
        </w:trPr>
        <w:tc>
          <w:tcPr>
            <w:tcW w:w="262" w:type="pct"/>
          </w:tcPr>
          <w:p w:rsidR="00FF6F20" w:rsidRPr="00B55920" w:rsidRDefault="00FF6F20" w:rsidP="00525292">
            <w:pPr>
              <w:snapToGrid w:val="0"/>
              <w:spacing w:beforeLines="50" w:before="180" w:afterLines="50" w:after="180" w:line="0" w:lineRule="atLeast"/>
              <w:contextualSpacing/>
              <w:jc w:val="center"/>
              <w:rPr>
                <w:rFonts w:eastAsia="標楷體" w:cstheme="minorHAnsi"/>
                <w:szCs w:val="24"/>
              </w:rPr>
            </w:pPr>
          </w:p>
        </w:tc>
        <w:tc>
          <w:tcPr>
            <w:tcW w:w="1089" w:type="pct"/>
          </w:tcPr>
          <w:p w:rsidR="00FF6F20" w:rsidRPr="00A31C95" w:rsidRDefault="001E2B41" w:rsidP="00525292">
            <w:pPr>
              <w:snapToGrid w:val="0"/>
              <w:spacing w:beforeLines="50" w:before="180" w:afterLines="50" w:after="180" w:line="0" w:lineRule="atLeast"/>
              <w:contextualSpacing/>
              <w:rPr>
                <w:rFonts w:eastAsia="標楷體" w:cstheme="minorHAnsi"/>
                <w:b/>
                <w:szCs w:val="24"/>
              </w:rPr>
            </w:pPr>
            <w:r w:rsidRPr="00A31C95">
              <w:rPr>
                <w:rFonts w:eastAsia="標楷體" w:cstheme="minorHAnsi"/>
                <w:b/>
                <w:szCs w:val="24"/>
              </w:rPr>
              <w:t>Table A.2.1:</w:t>
            </w:r>
            <w:r w:rsidRPr="00A31C95">
              <w:rPr>
                <w:rFonts w:eastAsia="標楷體" w:cstheme="minorHAnsi" w:hint="eastAsia"/>
                <w:b/>
                <w:szCs w:val="24"/>
              </w:rPr>
              <w:t xml:space="preserve"> </w:t>
            </w:r>
            <w:r w:rsidRPr="00A31C95">
              <w:rPr>
                <w:rFonts w:eastAsia="標楷體" w:cstheme="minorHAnsi"/>
                <w:b/>
                <w:szCs w:val="24"/>
              </w:rPr>
              <w:t>Permitted Daily Exposures for Elemental Impurities</w:t>
            </w:r>
            <w:r w:rsidRPr="00A31C95">
              <w:rPr>
                <w:rFonts w:eastAsia="標楷體" w:cstheme="minorHAnsi"/>
                <w:b/>
                <w:szCs w:val="24"/>
                <w:vertAlign w:val="superscript"/>
              </w:rPr>
              <w:t>1</w:t>
            </w:r>
          </w:p>
        </w:tc>
        <w:tc>
          <w:tcPr>
            <w:tcW w:w="2679" w:type="pct"/>
          </w:tcPr>
          <w:p w:rsidR="00FF6F20" w:rsidRDefault="001E2B41" w:rsidP="005C140E">
            <w:pPr>
              <w:snapToGrid w:val="0"/>
              <w:spacing w:before="10" w:line="0" w:lineRule="atLeast"/>
              <w:jc w:val="both"/>
              <w:rPr>
                <w:rFonts w:eastAsia="標楷體" w:cstheme="minorHAnsi"/>
                <w:szCs w:val="24"/>
              </w:rPr>
            </w:pPr>
            <w:r>
              <w:rPr>
                <w:noProof/>
              </w:rPr>
              <w:drawing>
                <wp:inline distT="0" distB="0" distL="0" distR="0" wp14:anchorId="0D2FFF30" wp14:editId="60129137">
                  <wp:extent cx="5175250" cy="4003675"/>
                  <wp:effectExtent l="0" t="0" r="635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75250" cy="4003675"/>
                          </a:xfrm>
                          <a:prstGeom prst="rect">
                            <a:avLst/>
                          </a:prstGeom>
                        </pic:spPr>
                      </pic:pic>
                    </a:graphicData>
                  </a:graphic>
                </wp:inline>
              </w:drawing>
            </w:r>
          </w:p>
          <w:p w:rsidR="00BE60BE" w:rsidRDefault="00BE60BE" w:rsidP="005C140E">
            <w:pPr>
              <w:snapToGrid w:val="0"/>
              <w:spacing w:before="10" w:line="0" w:lineRule="atLeast"/>
              <w:jc w:val="both"/>
              <w:rPr>
                <w:rFonts w:eastAsia="標楷體" w:cstheme="minorHAnsi"/>
                <w:szCs w:val="24"/>
              </w:rPr>
            </w:pPr>
            <w:r w:rsidRPr="00BE60BE">
              <w:rPr>
                <w:rFonts w:eastAsia="標楷體" w:cstheme="minorHAnsi" w:hint="eastAsia"/>
                <w:szCs w:val="24"/>
                <w:vertAlign w:val="superscript"/>
              </w:rPr>
              <w:t>1</w:t>
            </w:r>
            <w:r w:rsidRPr="00BE60BE">
              <w:rPr>
                <w:rFonts w:eastAsia="標楷體" w:cstheme="minorHAnsi"/>
                <w:szCs w:val="24"/>
              </w:rPr>
              <w:t xml:space="preserve">PDEs reported in this table (μg/day) have been established on the basis of safety </w:t>
            </w:r>
            <w:r w:rsidRPr="00BE60BE">
              <w:rPr>
                <w:rFonts w:eastAsia="標楷體" w:cstheme="minorHAnsi"/>
                <w:szCs w:val="24"/>
              </w:rPr>
              <w:lastRenderedPageBreak/>
              <w:t>data described in the</w:t>
            </w:r>
            <w:r>
              <w:rPr>
                <w:rFonts w:eastAsia="標楷體" w:cstheme="minorHAnsi" w:hint="eastAsia"/>
                <w:szCs w:val="24"/>
              </w:rPr>
              <w:t xml:space="preserve"> </w:t>
            </w:r>
            <w:r w:rsidRPr="00BE60BE">
              <w:rPr>
                <w:rFonts w:eastAsia="標楷體" w:cstheme="minorHAnsi"/>
                <w:szCs w:val="24"/>
              </w:rPr>
              <w:t>monographs in Appendix 3, and apply to new drug products. The PDEs in the monographs are not</w:t>
            </w:r>
            <w:r>
              <w:rPr>
                <w:rFonts w:eastAsia="標楷體" w:cstheme="minorHAnsi" w:hint="eastAsia"/>
                <w:szCs w:val="24"/>
              </w:rPr>
              <w:t xml:space="preserve"> </w:t>
            </w:r>
            <w:r w:rsidRPr="00BE60BE">
              <w:rPr>
                <w:rFonts w:eastAsia="標楷體" w:cstheme="minorHAnsi"/>
                <w:szCs w:val="24"/>
              </w:rPr>
              <w:t>rounded. For practical purposes the PDEs in this table have been rounded to 1 or 2 significant figures.</w:t>
            </w:r>
            <w:r>
              <w:rPr>
                <w:rFonts w:eastAsia="標楷體" w:cstheme="minorHAnsi" w:hint="eastAsia"/>
                <w:szCs w:val="24"/>
              </w:rPr>
              <w:t xml:space="preserve"> </w:t>
            </w:r>
            <w:r w:rsidRPr="00BE60BE">
              <w:rPr>
                <w:rFonts w:eastAsia="標楷體" w:cstheme="minorHAnsi"/>
                <w:szCs w:val="24"/>
              </w:rPr>
              <w:t>PDEs less than 10 have 1 significant figure and are rounded to the nearest unit. PDEs greater than 10 are</w:t>
            </w:r>
            <w:r>
              <w:rPr>
                <w:rFonts w:eastAsia="標楷體" w:cstheme="minorHAnsi" w:hint="eastAsia"/>
                <w:szCs w:val="24"/>
              </w:rPr>
              <w:t xml:space="preserve"> </w:t>
            </w:r>
            <w:r w:rsidRPr="00BE60BE">
              <w:rPr>
                <w:rFonts w:eastAsia="標楷體" w:cstheme="minorHAnsi"/>
                <w:szCs w:val="24"/>
              </w:rPr>
              <w:t>rounded to 1 or 2 significant figures as appropriate. The principles applied to rounding in this table may</w:t>
            </w:r>
            <w:r>
              <w:rPr>
                <w:rFonts w:eastAsia="標楷體" w:cstheme="minorHAnsi" w:hint="eastAsia"/>
                <w:szCs w:val="24"/>
              </w:rPr>
              <w:t xml:space="preserve"> </w:t>
            </w:r>
            <w:r w:rsidRPr="00BE60BE">
              <w:rPr>
                <w:rFonts w:eastAsia="標楷體" w:cstheme="minorHAnsi"/>
                <w:szCs w:val="24"/>
              </w:rPr>
              <w:t>be applied to PDEs derived for other routes of administration.</w:t>
            </w:r>
          </w:p>
          <w:p w:rsidR="00BE60BE" w:rsidRPr="00B55920" w:rsidRDefault="00BE60BE" w:rsidP="005C140E">
            <w:pPr>
              <w:snapToGrid w:val="0"/>
              <w:spacing w:before="10" w:line="0" w:lineRule="atLeast"/>
              <w:jc w:val="both"/>
              <w:rPr>
                <w:rFonts w:eastAsia="標楷體" w:cstheme="minorHAnsi"/>
                <w:szCs w:val="24"/>
              </w:rPr>
            </w:pPr>
            <w:r w:rsidRPr="00BE60BE">
              <w:rPr>
                <w:rFonts w:eastAsia="標楷體" w:cstheme="minorHAnsi" w:hint="eastAsia"/>
                <w:szCs w:val="24"/>
                <w:vertAlign w:val="superscript"/>
              </w:rPr>
              <w:t>2</w:t>
            </w:r>
            <w:r>
              <w:t xml:space="preserve"> </w:t>
            </w:r>
            <w:r w:rsidRPr="00BE60BE">
              <w:rPr>
                <w:rFonts w:eastAsia="標楷體" w:cstheme="minorHAnsi"/>
                <w:szCs w:val="24"/>
              </w:rPr>
              <w:t>Classification as defined in Section 4.</w:t>
            </w:r>
          </w:p>
        </w:tc>
        <w:tc>
          <w:tcPr>
            <w:tcW w:w="970" w:type="pct"/>
          </w:tcPr>
          <w:p w:rsidR="00FF6F20" w:rsidRPr="00B55920" w:rsidRDefault="00FF6F20" w:rsidP="00525292">
            <w:pPr>
              <w:snapToGrid w:val="0"/>
              <w:spacing w:beforeLines="50" w:before="180" w:afterLines="50" w:after="180" w:line="0" w:lineRule="atLeast"/>
              <w:contextualSpacing/>
              <w:rPr>
                <w:rFonts w:eastAsia="標楷體" w:cstheme="minorHAnsi"/>
                <w:szCs w:val="24"/>
              </w:rPr>
            </w:pPr>
          </w:p>
        </w:tc>
      </w:tr>
      <w:tr w:rsidR="00FF6F20" w:rsidRPr="00B55920" w:rsidTr="00EB6C26">
        <w:tc>
          <w:tcPr>
            <w:tcW w:w="262" w:type="pct"/>
          </w:tcPr>
          <w:p w:rsidR="00FF6F20" w:rsidRPr="00B55920" w:rsidRDefault="00FF6F20" w:rsidP="00525292">
            <w:pPr>
              <w:snapToGrid w:val="0"/>
              <w:spacing w:beforeLines="50" w:before="180" w:afterLines="50" w:after="180" w:line="0" w:lineRule="atLeast"/>
              <w:contextualSpacing/>
              <w:jc w:val="center"/>
              <w:rPr>
                <w:rFonts w:eastAsia="標楷體" w:cstheme="minorHAnsi"/>
                <w:szCs w:val="24"/>
              </w:rPr>
            </w:pPr>
          </w:p>
        </w:tc>
        <w:tc>
          <w:tcPr>
            <w:tcW w:w="1089" w:type="pct"/>
          </w:tcPr>
          <w:p w:rsidR="00FF6F20" w:rsidRPr="00A31C95" w:rsidRDefault="00A31C95" w:rsidP="005C140E">
            <w:pPr>
              <w:snapToGrid w:val="0"/>
              <w:spacing w:line="0" w:lineRule="atLeast"/>
              <w:contextualSpacing/>
              <w:rPr>
                <w:rFonts w:eastAsia="標楷體" w:cstheme="minorHAnsi"/>
                <w:b/>
                <w:szCs w:val="24"/>
              </w:rPr>
            </w:pPr>
            <w:r w:rsidRPr="00A31C95">
              <w:rPr>
                <w:rFonts w:eastAsia="標楷體" w:cstheme="minorHAnsi"/>
                <w:b/>
                <w:szCs w:val="24"/>
              </w:rPr>
              <w:t>Table A.2.2: Permitted Concentrations of Elemental Impurities 13 for Option 1</w:t>
            </w:r>
          </w:p>
        </w:tc>
        <w:tc>
          <w:tcPr>
            <w:tcW w:w="2679" w:type="pct"/>
          </w:tcPr>
          <w:p w:rsidR="00FF6F20" w:rsidRDefault="00A31C95" w:rsidP="005C140E">
            <w:pPr>
              <w:snapToGrid w:val="0"/>
              <w:spacing w:line="0" w:lineRule="atLeast"/>
              <w:jc w:val="both"/>
              <w:rPr>
                <w:rFonts w:eastAsia="標楷體" w:cstheme="minorHAnsi"/>
                <w:szCs w:val="24"/>
              </w:rPr>
            </w:pPr>
            <w:r w:rsidRPr="00A31C95">
              <w:rPr>
                <w:rFonts w:eastAsia="標楷體" w:cstheme="minorHAnsi"/>
                <w:szCs w:val="24"/>
              </w:rPr>
              <w:t>The values presented in this table represent permitted concentrations in micrograms per gram for elemental</w:t>
            </w:r>
            <w:r>
              <w:rPr>
                <w:rFonts w:eastAsia="標楷體" w:cstheme="minorHAnsi" w:hint="eastAsia"/>
                <w:szCs w:val="24"/>
              </w:rPr>
              <w:t xml:space="preserve"> </w:t>
            </w:r>
            <w:r w:rsidRPr="00A31C95">
              <w:rPr>
                <w:rFonts w:eastAsia="標楷體" w:cstheme="minorHAnsi"/>
                <w:szCs w:val="24"/>
              </w:rPr>
              <w:t>impurities in drug products, drug substances and excipients. These concentration limits are intended to be</w:t>
            </w:r>
            <w:r>
              <w:rPr>
                <w:rFonts w:eastAsia="標楷體" w:cstheme="minorHAnsi" w:hint="eastAsia"/>
                <w:szCs w:val="24"/>
              </w:rPr>
              <w:t xml:space="preserve"> </w:t>
            </w:r>
            <w:r w:rsidRPr="00A31C95">
              <w:rPr>
                <w:rFonts w:eastAsia="標楷體" w:cstheme="minorHAnsi"/>
                <w:szCs w:val="24"/>
              </w:rPr>
              <w:t>used when Option 1 is selected to assess the elemental impurity content in drug products with daily doses</w:t>
            </w:r>
            <w:r>
              <w:rPr>
                <w:rFonts w:eastAsia="標楷體" w:cstheme="minorHAnsi" w:hint="eastAsia"/>
                <w:szCs w:val="24"/>
              </w:rPr>
              <w:t xml:space="preserve"> </w:t>
            </w:r>
            <w:r w:rsidRPr="00A31C95">
              <w:rPr>
                <w:rFonts w:eastAsia="標楷體" w:cstheme="minorHAnsi"/>
                <w:szCs w:val="24"/>
              </w:rPr>
              <w:t>of not more than 10 grams per day. The numbers in this table are based on Table A.2.1.</w:t>
            </w:r>
          </w:p>
          <w:p w:rsidR="00A31C95" w:rsidRPr="00B55920" w:rsidRDefault="00A31C95" w:rsidP="005C140E">
            <w:pPr>
              <w:snapToGrid w:val="0"/>
              <w:spacing w:line="0" w:lineRule="atLeast"/>
              <w:jc w:val="both"/>
              <w:rPr>
                <w:rFonts w:eastAsia="標楷體" w:cstheme="minorHAnsi"/>
                <w:szCs w:val="24"/>
              </w:rPr>
            </w:pPr>
            <w:r>
              <w:rPr>
                <w:noProof/>
              </w:rPr>
              <w:drawing>
                <wp:inline distT="0" distB="0" distL="0" distR="0" wp14:anchorId="49187153" wp14:editId="17CDAE03">
                  <wp:extent cx="5174614" cy="3986784"/>
                  <wp:effectExtent l="0" t="0" r="762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81347" cy="3991971"/>
                          </a:xfrm>
                          <a:prstGeom prst="rect">
                            <a:avLst/>
                          </a:prstGeom>
                        </pic:spPr>
                      </pic:pic>
                    </a:graphicData>
                  </a:graphic>
                </wp:inline>
              </w:drawing>
            </w:r>
          </w:p>
        </w:tc>
        <w:tc>
          <w:tcPr>
            <w:tcW w:w="970" w:type="pct"/>
          </w:tcPr>
          <w:p w:rsidR="00FF6F20" w:rsidRPr="00B55920" w:rsidRDefault="00FF6F20" w:rsidP="00525292">
            <w:pPr>
              <w:snapToGrid w:val="0"/>
              <w:spacing w:beforeLines="50" w:before="180" w:afterLines="50" w:after="180" w:line="0" w:lineRule="atLeast"/>
              <w:contextualSpacing/>
              <w:rPr>
                <w:rFonts w:eastAsia="標楷體" w:cstheme="minorHAnsi"/>
                <w:szCs w:val="24"/>
              </w:rPr>
            </w:pPr>
          </w:p>
        </w:tc>
      </w:tr>
      <w:tr w:rsidR="007A553D" w:rsidRPr="00B55920" w:rsidTr="00FB63CF">
        <w:tc>
          <w:tcPr>
            <w:tcW w:w="5000" w:type="pct"/>
            <w:gridSpan w:val="4"/>
            <w:vAlign w:val="center"/>
          </w:tcPr>
          <w:p w:rsidR="007A553D" w:rsidRDefault="00E56A2A" w:rsidP="00525292">
            <w:pPr>
              <w:snapToGrid w:val="0"/>
              <w:spacing w:beforeLines="50" w:before="180" w:afterLines="50" w:after="180" w:line="0" w:lineRule="atLeast"/>
              <w:contextualSpacing/>
              <w:jc w:val="both"/>
              <w:rPr>
                <w:rFonts w:eastAsia="標楷體" w:cstheme="minorHAnsi"/>
                <w:b/>
                <w:color w:val="FF0000"/>
                <w:sz w:val="28"/>
                <w:szCs w:val="24"/>
              </w:rPr>
            </w:pPr>
            <w:r w:rsidRPr="007572E6">
              <w:rPr>
                <w:rFonts w:eastAsia="標楷體" w:cstheme="minorHAnsi"/>
                <w:b/>
                <w:color w:val="FF0000"/>
                <w:sz w:val="28"/>
                <w:szCs w:val="24"/>
              </w:rPr>
              <w:lastRenderedPageBreak/>
              <w:t xml:space="preserve">Part 2 - Q3D Appendix 3 Extract – Correction of </w:t>
            </w:r>
            <w:r w:rsidRPr="007572E6">
              <w:rPr>
                <w:rFonts w:eastAsia="標楷體" w:cstheme="minorHAnsi"/>
                <w:b/>
                <w:color w:val="FF0000"/>
                <w:sz w:val="28"/>
                <w:szCs w:val="24"/>
                <w:u w:val="single"/>
              </w:rPr>
              <w:t>Gold</w:t>
            </w:r>
            <w:r w:rsidRPr="007572E6">
              <w:rPr>
                <w:rFonts w:eastAsia="標楷體" w:cstheme="minorHAnsi"/>
                <w:b/>
                <w:color w:val="FF0000"/>
                <w:sz w:val="28"/>
                <w:szCs w:val="24"/>
              </w:rPr>
              <w:t xml:space="preserve"> Monograph</w:t>
            </w:r>
          </w:p>
          <w:p w:rsidR="006B7164" w:rsidRPr="007572E6" w:rsidRDefault="006B7164" w:rsidP="00525292">
            <w:pPr>
              <w:snapToGrid w:val="0"/>
              <w:spacing w:beforeLines="50" w:before="180" w:afterLines="50" w:after="180" w:line="0" w:lineRule="atLeast"/>
              <w:contextualSpacing/>
              <w:jc w:val="both"/>
              <w:rPr>
                <w:rFonts w:eastAsia="標楷體" w:cstheme="minorHAnsi"/>
                <w:b/>
                <w:sz w:val="28"/>
                <w:szCs w:val="24"/>
              </w:rPr>
            </w:pPr>
            <w:r w:rsidRPr="006B7164">
              <w:rPr>
                <w:rFonts w:eastAsia="標楷體" w:cstheme="minorHAnsi"/>
                <w:color w:val="FF0000"/>
                <w:sz w:val="28"/>
                <w:szCs w:val="24"/>
              </w:rPr>
              <w:t>Changes proposed to Appendix 3 are shown in track change, and are intended to be integrated</w:t>
            </w:r>
            <w:r>
              <w:rPr>
                <w:rFonts w:eastAsia="標楷體" w:cstheme="minorHAnsi"/>
                <w:color w:val="FF0000"/>
                <w:sz w:val="28"/>
                <w:szCs w:val="24"/>
              </w:rPr>
              <w:t xml:space="preserve"> </w:t>
            </w:r>
            <w:r w:rsidRPr="006B7164">
              <w:rPr>
                <w:rFonts w:eastAsia="標楷體" w:cstheme="minorHAnsi"/>
                <w:color w:val="FF0000"/>
                <w:sz w:val="28"/>
                <w:szCs w:val="24"/>
              </w:rPr>
              <w:t>into the Q3D(R2) Guideline</w:t>
            </w:r>
          </w:p>
        </w:tc>
      </w:tr>
      <w:tr w:rsidR="005D1049" w:rsidRPr="00B55920" w:rsidTr="00FB63CF">
        <w:tc>
          <w:tcPr>
            <w:tcW w:w="5000" w:type="pct"/>
            <w:gridSpan w:val="4"/>
            <w:vAlign w:val="center"/>
          </w:tcPr>
          <w:p w:rsidR="005D1049" w:rsidRPr="005D1049" w:rsidRDefault="005D1049" w:rsidP="00525292">
            <w:pPr>
              <w:snapToGrid w:val="0"/>
              <w:spacing w:beforeLines="50" w:before="180" w:afterLines="50" w:after="180" w:line="0" w:lineRule="atLeast"/>
              <w:contextualSpacing/>
              <w:rPr>
                <w:rFonts w:eastAsia="標楷體" w:cstheme="minorHAnsi"/>
                <w:b/>
                <w:szCs w:val="24"/>
              </w:rPr>
            </w:pPr>
            <w:r w:rsidRPr="005D1049">
              <w:rPr>
                <w:rFonts w:eastAsia="標楷體" w:cstheme="minorHAnsi"/>
                <w:b/>
                <w:sz w:val="28"/>
                <w:szCs w:val="24"/>
              </w:rPr>
              <w:t>GOLD</w:t>
            </w:r>
          </w:p>
        </w:tc>
      </w:tr>
      <w:tr w:rsidR="00FF6F20" w:rsidRPr="00B55920" w:rsidTr="00E56A2A">
        <w:trPr>
          <w:trHeight w:val="402"/>
        </w:trPr>
        <w:tc>
          <w:tcPr>
            <w:tcW w:w="262" w:type="pct"/>
          </w:tcPr>
          <w:p w:rsidR="00FF6F20" w:rsidRPr="00B55920" w:rsidRDefault="00FF6F20" w:rsidP="00525292">
            <w:pPr>
              <w:snapToGrid w:val="0"/>
              <w:spacing w:beforeLines="50" w:before="180" w:afterLines="50" w:after="180" w:line="0" w:lineRule="atLeast"/>
              <w:contextualSpacing/>
              <w:jc w:val="center"/>
              <w:rPr>
                <w:rFonts w:eastAsia="標楷體" w:cstheme="minorHAnsi"/>
                <w:szCs w:val="24"/>
              </w:rPr>
            </w:pPr>
          </w:p>
        </w:tc>
        <w:tc>
          <w:tcPr>
            <w:tcW w:w="1089" w:type="pct"/>
          </w:tcPr>
          <w:p w:rsidR="005D1049" w:rsidRPr="00E56A2A" w:rsidRDefault="005D1049" w:rsidP="00525292">
            <w:pPr>
              <w:tabs>
                <w:tab w:val="left" w:pos="767"/>
              </w:tabs>
              <w:snapToGrid w:val="0"/>
              <w:spacing w:before="50" w:afterLines="50" w:after="180" w:line="0" w:lineRule="atLeast"/>
              <w:jc w:val="both"/>
              <w:rPr>
                <w:rFonts w:eastAsia="標楷體" w:cstheme="minorHAnsi"/>
                <w:b/>
                <w:szCs w:val="24"/>
              </w:rPr>
            </w:pPr>
            <w:r w:rsidRPr="00E56A2A">
              <w:rPr>
                <w:rFonts w:eastAsia="標楷體" w:cstheme="minorHAnsi"/>
                <w:b/>
                <w:szCs w:val="24"/>
              </w:rPr>
              <w:t>Summary of PDE for Gold</w:t>
            </w:r>
          </w:p>
          <w:p w:rsidR="00E56A2A" w:rsidRPr="00E56A2A" w:rsidRDefault="00E56A2A" w:rsidP="00525292">
            <w:pPr>
              <w:snapToGrid w:val="0"/>
              <w:spacing w:beforeLines="50" w:before="180" w:afterLines="50" w:after="180" w:line="0" w:lineRule="atLeast"/>
              <w:contextualSpacing/>
              <w:rPr>
                <w:rFonts w:eastAsia="標楷體" w:cstheme="minorHAnsi"/>
                <w:b/>
                <w:szCs w:val="24"/>
              </w:rPr>
            </w:pPr>
          </w:p>
        </w:tc>
        <w:tc>
          <w:tcPr>
            <w:tcW w:w="2679" w:type="pct"/>
          </w:tcPr>
          <w:p w:rsidR="00E56A2A" w:rsidRPr="00E56A2A" w:rsidRDefault="00E56A2A" w:rsidP="005C140E">
            <w:pPr>
              <w:tabs>
                <w:tab w:val="left" w:pos="767"/>
              </w:tabs>
              <w:snapToGrid w:val="0"/>
              <w:spacing w:line="0" w:lineRule="atLeast"/>
              <w:jc w:val="both"/>
              <w:rPr>
                <w:rFonts w:eastAsia="標楷體" w:cstheme="minorHAnsi"/>
                <w:b/>
                <w:szCs w:val="24"/>
              </w:rPr>
            </w:pPr>
            <w:r>
              <w:rPr>
                <w:noProof/>
              </w:rPr>
              <w:drawing>
                <wp:inline distT="0" distB="0" distL="0" distR="0" wp14:anchorId="0E3155FD" wp14:editId="7C259635">
                  <wp:extent cx="5175250" cy="514985"/>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75250" cy="514985"/>
                          </a:xfrm>
                          <a:prstGeom prst="rect">
                            <a:avLst/>
                          </a:prstGeom>
                        </pic:spPr>
                      </pic:pic>
                    </a:graphicData>
                  </a:graphic>
                </wp:inline>
              </w:drawing>
            </w:r>
          </w:p>
        </w:tc>
        <w:tc>
          <w:tcPr>
            <w:tcW w:w="970" w:type="pct"/>
          </w:tcPr>
          <w:p w:rsidR="00FF6F20" w:rsidRPr="00B55920" w:rsidRDefault="00FF6F20" w:rsidP="00525292">
            <w:pPr>
              <w:snapToGrid w:val="0"/>
              <w:spacing w:beforeLines="50" w:before="180" w:afterLines="50" w:after="180" w:line="0" w:lineRule="atLeast"/>
              <w:contextualSpacing/>
              <w:rPr>
                <w:rFonts w:eastAsia="標楷體" w:cstheme="minorHAnsi"/>
                <w:szCs w:val="24"/>
              </w:rPr>
            </w:pPr>
          </w:p>
        </w:tc>
      </w:tr>
      <w:tr w:rsidR="00C8590D" w:rsidRPr="00B55920" w:rsidTr="00E56A2A">
        <w:trPr>
          <w:trHeight w:val="402"/>
        </w:trPr>
        <w:tc>
          <w:tcPr>
            <w:tcW w:w="262" w:type="pct"/>
          </w:tcPr>
          <w:p w:rsidR="00C8590D" w:rsidRPr="00B55920" w:rsidRDefault="00C8590D" w:rsidP="00525292">
            <w:pPr>
              <w:snapToGrid w:val="0"/>
              <w:spacing w:beforeLines="50" w:before="180" w:afterLines="50" w:after="180" w:line="0" w:lineRule="atLeast"/>
              <w:contextualSpacing/>
              <w:jc w:val="center"/>
              <w:rPr>
                <w:rFonts w:eastAsia="標楷體" w:cstheme="minorHAnsi"/>
                <w:szCs w:val="24"/>
              </w:rPr>
            </w:pPr>
          </w:p>
        </w:tc>
        <w:tc>
          <w:tcPr>
            <w:tcW w:w="1089" w:type="pct"/>
          </w:tcPr>
          <w:p w:rsidR="00C8590D" w:rsidRPr="00E56A2A" w:rsidRDefault="00C8590D" w:rsidP="00525292">
            <w:pPr>
              <w:snapToGrid w:val="0"/>
              <w:spacing w:beforeLines="50" w:before="180" w:afterLines="50" w:after="180" w:line="0" w:lineRule="atLeast"/>
              <w:contextualSpacing/>
              <w:rPr>
                <w:rFonts w:eastAsia="標楷體" w:cstheme="minorHAnsi"/>
                <w:b/>
                <w:szCs w:val="24"/>
              </w:rPr>
            </w:pPr>
            <w:r w:rsidRPr="00C8590D">
              <w:rPr>
                <w:rFonts w:eastAsia="標楷體" w:cstheme="minorHAnsi"/>
                <w:b/>
                <w:szCs w:val="24"/>
              </w:rPr>
              <w:t>Introduction</w:t>
            </w:r>
          </w:p>
        </w:tc>
        <w:tc>
          <w:tcPr>
            <w:tcW w:w="2679" w:type="pct"/>
          </w:tcPr>
          <w:p w:rsidR="00C8590D" w:rsidRPr="00C8590D" w:rsidRDefault="00C8590D" w:rsidP="005C140E">
            <w:pPr>
              <w:tabs>
                <w:tab w:val="left" w:pos="767"/>
              </w:tabs>
              <w:snapToGrid w:val="0"/>
              <w:spacing w:line="0" w:lineRule="atLeast"/>
              <w:jc w:val="both"/>
              <w:rPr>
                <w:rFonts w:eastAsia="標楷體" w:cstheme="minorHAnsi"/>
                <w:szCs w:val="24"/>
              </w:rPr>
            </w:pPr>
            <w:r w:rsidRPr="00C8590D">
              <w:rPr>
                <w:rFonts w:eastAsia="標楷體" w:cstheme="minorHAnsi"/>
                <w:szCs w:val="24"/>
              </w:rPr>
              <w:t>Gold (Au) exists in metallic form and in oxidation states of +1 to +5, the monovalent and trivalent forms being the most common. Elemental gold is poorly absorbed and consequently is not considered biologically</w:t>
            </w:r>
            <w:r>
              <w:rPr>
                <w:rFonts w:eastAsia="標楷體" w:cstheme="minorHAnsi"/>
                <w:szCs w:val="24"/>
              </w:rPr>
              <w:t xml:space="preserve"> </w:t>
            </w:r>
            <w:r w:rsidRPr="00C8590D">
              <w:rPr>
                <w:rFonts w:eastAsia="標楷體" w:cstheme="minorHAnsi"/>
                <w:szCs w:val="24"/>
              </w:rPr>
              <w:t>active. Gold is being used on a carrier or in complexes like gold chloride and L-Au</w:t>
            </w:r>
            <w:r w:rsidRPr="00C8590D">
              <w:rPr>
                <w:rFonts w:eastAsia="標楷體" w:cstheme="minorHAnsi"/>
                <w:szCs w:val="24"/>
                <w:vertAlign w:val="superscript"/>
              </w:rPr>
              <w:t>+</w:t>
            </w:r>
            <w:r w:rsidRPr="00C8590D">
              <w:rPr>
                <w:rFonts w:eastAsia="標楷體" w:cstheme="minorHAnsi"/>
                <w:szCs w:val="24"/>
              </w:rPr>
              <w:t xml:space="preserve"> (where L is a phosphane,</w:t>
            </w:r>
            <w:r>
              <w:rPr>
                <w:rFonts w:eastAsia="標楷體" w:cstheme="minorHAnsi"/>
                <w:szCs w:val="24"/>
              </w:rPr>
              <w:t xml:space="preserve"> </w:t>
            </w:r>
            <w:r w:rsidRPr="00C8590D">
              <w:rPr>
                <w:rFonts w:eastAsia="標楷體" w:cstheme="minorHAnsi"/>
                <w:szCs w:val="24"/>
              </w:rPr>
              <w:t>phosphite, or an arsine; Telles, 1998), as catalysts in organic synthesis. The only source for gold in drug</w:t>
            </w:r>
            <w:r>
              <w:rPr>
                <w:rFonts w:eastAsia="標楷體" w:cstheme="minorHAnsi"/>
                <w:szCs w:val="24"/>
              </w:rPr>
              <w:t xml:space="preserve"> </w:t>
            </w:r>
            <w:r w:rsidRPr="00C8590D">
              <w:rPr>
                <w:rFonts w:eastAsia="標楷體" w:cstheme="minorHAnsi"/>
                <w:szCs w:val="24"/>
              </w:rPr>
              <w:t>products comes from the use as catalyst. Au(1+) salts are used therapeutically.</w:t>
            </w:r>
          </w:p>
        </w:tc>
        <w:tc>
          <w:tcPr>
            <w:tcW w:w="970" w:type="pct"/>
          </w:tcPr>
          <w:p w:rsidR="00C8590D" w:rsidRPr="00B55920" w:rsidRDefault="00C8590D" w:rsidP="00525292">
            <w:pPr>
              <w:snapToGrid w:val="0"/>
              <w:spacing w:beforeLines="50" w:before="180" w:afterLines="50" w:after="180" w:line="0" w:lineRule="atLeast"/>
              <w:contextualSpacing/>
              <w:rPr>
                <w:rFonts w:eastAsia="標楷體" w:cstheme="minorHAnsi"/>
                <w:szCs w:val="24"/>
              </w:rPr>
            </w:pPr>
          </w:p>
        </w:tc>
      </w:tr>
      <w:tr w:rsidR="00C8590D" w:rsidRPr="00B55920" w:rsidTr="00E56A2A">
        <w:trPr>
          <w:trHeight w:val="402"/>
        </w:trPr>
        <w:tc>
          <w:tcPr>
            <w:tcW w:w="262" w:type="pct"/>
          </w:tcPr>
          <w:p w:rsidR="00C8590D" w:rsidRPr="00B55920" w:rsidRDefault="00C8590D" w:rsidP="00525292">
            <w:pPr>
              <w:snapToGrid w:val="0"/>
              <w:spacing w:beforeLines="50" w:before="180" w:afterLines="50" w:after="180" w:line="0" w:lineRule="atLeast"/>
              <w:contextualSpacing/>
              <w:jc w:val="center"/>
              <w:rPr>
                <w:rFonts w:eastAsia="標楷體" w:cstheme="minorHAnsi"/>
                <w:szCs w:val="24"/>
              </w:rPr>
            </w:pPr>
          </w:p>
        </w:tc>
        <w:tc>
          <w:tcPr>
            <w:tcW w:w="1089" w:type="pct"/>
          </w:tcPr>
          <w:p w:rsidR="00C8590D" w:rsidRPr="00E56A2A" w:rsidRDefault="00951553" w:rsidP="00525292">
            <w:pPr>
              <w:snapToGrid w:val="0"/>
              <w:spacing w:beforeLines="50" w:before="180" w:afterLines="50" w:after="180" w:line="0" w:lineRule="atLeast"/>
              <w:contextualSpacing/>
              <w:rPr>
                <w:rFonts w:eastAsia="標楷體" w:cstheme="minorHAnsi"/>
                <w:b/>
                <w:szCs w:val="24"/>
              </w:rPr>
            </w:pPr>
            <w:r w:rsidRPr="00951553">
              <w:rPr>
                <w:rFonts w:eastAsia="標楷體" w:cstheme="minorHAnsi"/>
                <w:b/>
                <w:szCs w:val="24"/>
              </w:rPr>
              <w:t>Safety Limiting Toxicity</w:t>
            </w:r>
          </w:p>
        </w:tc>
        <w:tc>
          <w:tcPr>
            <w:tcW w:w="2679" w:type="pct"/>
          </w:tcPr>
          <w:p w:rsidR="00C8590D" w:rsidRDefault="00951553" w:rsidP="005C140E">
            <w:pPr>
              <w:tabs>
                <w:tab w:val="left" w:pos="767"/>
              </w:tabs>
              <w:snapToGrid w:val="0"/>
              <w:spacing w:afterLines="50" w:after="180" w:line="0" w:lineRule="atLeast"/>
              <w:jc w:val="both"/>
              <w:rPr>
                <w:rFonts w:eastAsia="標楷體" w:cstheme="minorHAnsi"/>
                <w:szCs w:val="24"/>
              </w:rPr>
            </w:pPr>
            <w:r w:rsidRPr="00951553">
              <w:rPr>
                <w:rFonts w:eastAsia="標楷體" w:cstheme="minorHAnsi"/>
                <w:szCs w:val="24"/>
              </w:rPr>
              <w:t>Most knowledge of gold toxicity is based on therapeutic uses of gold. Currently available therapies are gold salts of monovalent Au(1+) with a sulfur ligand (Au-S), but metallic gold has also been studied. No</w:t>
            </w:r>
            <w:r>
              <w:rPr>
                <w:rFonts w:eastAsia="標楷體" w:cstheme="minorHAnsi"/>
                <w:szCs w:val="24"/>
              </w:rPr>
              <w:t xml:space="preserve"> </w:t>
            </w:r>
            <w:r w:rsidRPr="00951553">
              <w:rPr>
                <w:rFonts w:eastAsia="標楷體" w:cstheme="minorHAnsi"/>
                <w:szCs w:val="24"/>
              </w:rPr>
              <w:t>toxicity was seen in 10 patients administered colloidal metallic gold (monoatomic gold) at 30 mg/day for</w:t>
            </w:r>
            <w:r>
              <w:rPr>
                <w:rFonts w:eastAsia="標楷體" w:cstheme="minorHAnsi"/>
                <w:szCs w:val="24"/>
              </w:rPr>
              <w:t xml:space="preserve"> </w:t>
            </w:r>
            <w:r w:rsidRPr="00951553">
              <w:rPr>
                <w:rFonts w:eastAsia="標楷體" w:cstheme="minorHAnsi"/>
                <w:szCs w:val="24"/>
              </w:rPr>
              <w:t>one week followed by 60 mg/day the second week or the reverse schedule. The patients were continued on</w:t>
            </w:r>
            <w:r>
              <w:rPr>
                <w:rFonts w:eastAsia="標楷體" w:cstheme="minorHAnsi"/>
                <w:szCs w:val="24"/>
              </w:rPr>
              <w:t xml:space="preserve"> </w:t>
            </w:r>
            <w:r w:rsidRPr="00951553">
              <w:rPr>
                <w:rFonts w:eastAsia="標楷體" w:cstheme="minorHAnsi"/>
                <w:szCs w:val="24"/>
              </w:rPr>
              <w:t>the trial for an additional 2 years at 30 mg/day. There was no evidence of hematologic, renal or hepatic</w:t>
            </w:r>
            <w:r>
              <w:rPr>
                <w:rFonts w:eastAsia="標楷體" w:cstheme="minorHAnsi"/>
                <w:szCs w:val="24"/>
              </w:rPr>
              <w:t xml:space="preserve"> </w:t>
            </w:r>
            <w:r w:rsidRPr="00951553">
              <w:rPr>
                <w:rFonts w:eastAsia="標楷體" w:cstheme="minorHAnsi"/>
                <w:szCs w:val="24"/>
              </w:rPr>
              <w:t>cytotoxicity but some improvement in clinical symptoms of rheumatoid arthritis and in cytokine parameters</w:t>
            </w:r>
            <w:r>
              <w:rPr>
                <w:rFonts w:eastAsia="標楷體" w:cstheme="minorHAnsi"/>
                <w:szCs w:val="24"/>
              </w:rPr>
              <w:t xml:space="preserve"> </w:t>
            </w:r>
            <w:r w:rsidRPr="00951553">
              <w:rPr>
                <w:rFonts w:eastAsia="標楷體" w:cstheme="minorHAnsi"/>
                <w:szCs w:val="24"/>
              </w:rPr>
              <w:t>were noted (Abraham and Himmel, 1997).</w:t>
            </w:r>
          </w:p>
          <w:p w:rsidR="00951553" w:rsidRDefault="00951553" w:rsidP="005C140E">
            <w:pPr>
              <w:tabs>
                <w:tab w:val="left" w:pos="767"/>
              </w:tabs>
              <w:snapToGrid w:val="0"/>
              <w:spacing w:afterLines="50" w:after="180" w:line="0" w:lineRule="atLeast"/>
              <w:jc w:val="both"/>
              <w:rPr>
                <w:rFonts w:eastAsia="標楷體" w:cstheme="minorHAnsi"/>
                <w:szCs w:val="24"/>
              </w:rPr>
            </w:pPr>
            <w:r w:rsidRPr="00951553">
              <w:rPr>
                <w:rFonts w:eastAsia="標楷體" w:cstheme="minorHAnsi"/>
                <w:szCs w:val="24"/>
              </w:rPr>
              <w:t>Long term animal and human data are available with gold compounds. Toxicities in</w:t>
            </w:r>
            <w:r>
              <w:rPr>
                <w:rFonts w:eastAsia="標楷體" w:cstheme="minorHAnsi"/>
                <w:szCs w:val="24"/>
              </w:rPr>
              <w:t>clude renal lesions in</w:t>
            </w:r>
            <w:r>
              <w:rPr>
                <w:rFonts w:eastAsia="標楷體" w:cstheme="minorHAnsi" w:hint="eastAsia"/>
                <w:szCs w:val="24"/>
              </w:rPr>
              <w:t xml:space="preserve"> </w:t>
            </w:r>
            <w:r w:rsidRPr="00951553">
              <w:rPr>
                <w:rFonts w:eastAsia="標楷體" w:cstheme="minorHAnsi"/>
                <w:szCs w:val="24"/>
              </w:rPr>
              <w:t>rats administered gold compounds by injection (Payne and Saunders, 197</w:t>
            </w:r>
            <w:r>
              <w:rPr>
                <w:rFonts w:eastAsia="標楷體" w:cstheme="minorHAnsi"/>
                <w:szCs w:val="24"/>
              </w:rPr>
              <w:t>8) and humans (Lee et al, 1965)</w:t>
            </w:r>
            <w:r>
              <w:rPr>
                <w:rFonts w:eastAsia="標楷體" w:cstheme="minorHAnsi" w:hint="eastAsia"/>
                <w:szCs w:val="24"/>
              </w:rPr>
              <w:t xml:space="preserve"> </w:t>
            </w:r>
            <w:r w:rsidRPr="00951553">
              <w:rPr>
                <w:rFonts w:eastAsia="標楷體" w:cstheme="minorHAnsi"/>
                <w:szCs w:val="24"/>
              </w:rPr>
              <w:t>and gastrointestinal toxicity in dogs (Payne and Arena, 1978). However, th</w:t>
            </w:r>
            <w:r>
              <w:rPr>
                <w:rFonts w:eastAsia="標楷體" w:cstheme="minorHAnsi"/>
                <w:szCs w:val="24"/>
              </w:rPr>
              <w:t>ese studies have been performed</w:t>
            </w:r>
            <w:r>
              <w:rPr>
                <w:rFonts w:eastAsia="標楷體" w:cstheme="minorHAnsi" w:hint="eastAsia"/>
                <w:szCs w:val="24"/>
              </w:rPr>
              <w:t xml:space="preserve"> </w:t>
            </w:r>
            <w:r w:rsidRPr="00951553">
              <w:rPr>
                <w:rFonts w:eastAsia="標楷體" w:cstheme="minorHAnsi"/>
                <w:szCs w:val="24"/>
              </w:rPr>
              <w:t>with monovalent gold (Au(1+)) or forms of gold not present as pharmaceuti</w:t>
            </w:r>
            <w:r>
              <w:rPr>
                <w:rFonts w:eastAsia="標楷體" w:cstheme="minorHAnsi"/>
                <w:szCs w:val="24"/>
              </w:rPr>
              <w:t>cal impurities and thus are not</w:t>
            </w:r>
            <w:r>
              <w:rPr>
                <w:rFonts w:eastAsia="標楷體" w:cstheme="minorHAnsi" w:hint="eastAsia"/>
                <w:szCs w:val="24"/>
              </w:rPr>
              <w:t xml:space="preserve"> </w:t>
            </w:r>
            <w:r w:rsidRPr="00951553">
              <w:rPr>
                <w:rFonts w:eastAsia="標楷體" w:cstheme="minorHAnsi"/>
                <w:szCs w:val="24"/>
              </w:rPr>
              <w:t>considered sufficiently relevant to derive a PDE for gold in pharmaceutical products.</w:t>
            </w:r>
          </w:p>
          <w:p w:rsidR="00951553" w:rsidRPr="00951553" w:rsidRDefault="00951553" w:rsidP="005C140E">
            <w:pPr>
              <w:tabs>
                <w:tab w:val="left" w:pos="767"/>
              </w:tabs>
              <w:snapToGrid w:val="0"/>
              <w:spacing w:afterLines="50" w:after="180" w:line="0" w:lineRule="atLeast"/>
              <w:jc w:val="both"/>
              <w:rPr>
                <w:rFonts w:eastAsia="標楷體" w:cstheme="minorHAnsi"/>
                <w:szCs w:val="24"/>
              </w:rPr>
            </w:pPr>
            <w:r w:rsidRPr="00951553">
              <w:rPr>
                <w:rFonts w:eastAsia="標楷體" w:cstheme="minorHAnsi"/>
                <w:szCs w:val="24"/>
              </w:rPr>
              <w:t>There are no relevant toxicology studies in humans or animals by the oral route of a form of gold likel</w:t>
            </w:r>
            <w:r>
              <w:rPr>
                <w:rFonts w:eastAsia="標楷體" w:cstheme="minorHAnsi"/>
                <w:szCs w:val="24"/>
              </w:rPr>
              <w:t>y to</w:t>
            </w:r>
            <w:r>
              <w:rPr>
                <w:rFonts w:eastAsia="標楷體" w:cstheme="minorHAnsi" w:hint="eastAsia"/>
                <w:szCs w:val="24"/>
              </w:rPr>
              <w:t xml:space="preserve"> </w:t>
            </w:r>
            <w:r w:rsidRPr="00951553">
              <w:rPr>
                <w:rFonts w:eastAsia="標楷體" w:cstheme="minorHAnsi"/>
                <w:szCs w:val="24"/>
              </w:rPr>
              <w:t>be in a pharmaceutical product to set an oral PDE of gold. Au(3+) is though</w:t>
            </w:r>
            <w:r>
              <w:rPr>
                <w:rFonts w:eastAsia="標楷體" w:cstheme="minorHAnsi"/>
                <w:szCs w:val="24"/>
              </w:rPr>
              <w:t>t to be the more toxic form and</w:t>
            </w:r>
            <w:r>
              <w:rPr>
                <w:rFonts w:eastAsia="標楷體" w:cstheme="minorHAnsi" w:hint="eastAsia"/>
                <w:szCs w:val="24"/>
              </w:rPr>
              <w:t xml:space="preserve"> </w:t>
            </w:r>
            <w:r w:rsidRPr="00951553">
              <w:rPr>
                <w:rFonts w:eastAsia="標楷體" w:cstheme="minorHAnsi"/>
                <w:szCs w:val="24"/>
              </w:rPr>
              <w:t xml:space="preserve">is used in catalysis, e.g., as gold trichloride. There is only limited data on </w:t>
            </w:r>
            <w:r>
              <w:rPr>
                <w:rFonts w:eastAsia="標楷體" w:cstheme="minorHAnsi"/>
                <w:szCs w:val="24"/>
              </w:rPr>
              <w:t>Au(3+) complexes. In one study,</w:t>
            </w:r>
            <w:r>
              <w:rPr>
                <w:rFonts w:eastAsia="標楷體" w:cstheme="minorHAnsi" w:hint="eastAsia"/>
                <w:szCs w:val="24"/>
              </w:rPr>
              <w:t xml:space="preserve"> </w:t>
            </w:r>
            <w:r w:rsidRPr="00951553">
              <w:rPr>
                <w:rFonts w:eastAsia="標楷體" w:cstheme="minorHAnsi"/>
                <w:szCs w:val="24"/>
              </w:rPr>
              <w:t>the Au(3+) compound [Au(en)Cl</w:t>
            </w:r>
            <w:r w:rsidRPr="00951553">
              <w:rPr>
                <w:rFonts w:eastAsia="標楷體" w:cstheme="minorHAnsi"/>
                <w:szCs w:val="24"/>
                <w:vertAlign w:val="subscript"/>
              </w:rPr>
              <w:t>2</w:t>
            </w:r>
            <w:r w:rsidRPr="00951553">
              <w:rPr>
                <w:rFonts w:eastAsia="標楷體" w:cstheme="minorHAnsi"/>
                <w:szCs w:val="24"/>
              </w:rPr>
              <w:t>]Cl (dichloro(ethylenediamine-aurate</w:t>
            </w:r>
            <w:r w:rsidRPr="00951553">
              <w:rPr>
                <w:rFonts w:eastAsia="標楷體" w:cstheme="minorHAnsi"/>
                <w:szCs w:val="24"/>
                <w:vertAlign w:val="superscript"/>
              </w:rPr>
              <w:t>3+</w:t>
            </w:r>
            <w:r w:rsidRPr="00951553">
              <w:rPr>
                <w:rFonts w:eastAsia="標楷體" w:cstheme="minorHAnsi"/>
                <w:szCs w:val="24"/>
              </w:rPr>
              <w:t xml:space="preserve"> i</w:t>
            </w:r>
            <w:r>
              <w:rPr>
                <w:rFonts w:eastAsia="標楷體" w:cstheme="minorHAnsi"/>
                <w:szCs w:val="24"/>
              </w:rPr>
              <w:t>on) caused minimal histological</w:t>
            </w:r>
            <w:r>
              <w:rPr>
                <w:rFonts w:eastAsia="標楷體" w:cstheme="minorHAnsi" w:hint="eastAsia"/>
                <w:szCs w:val="24"/>
              </w:rPr>
              <w:t xml:space="preserve"> </w:t>
            </w:r>
            <w:r w:rsidRPr="00951553">
              <w:rPr>
                <w:rFonts w:eastAsia="標楷體" w:cstheme="minorHAnsi"/>
                <w:szCs w:val="24"/>
              </w:rPr>
              <w:t xml:space="preserve">changes in the kidney and liver of rats, and no renal tubular necrosis, at </w:t>
            </w:r>
            <w:r w:rsidRPr="00951553">
              <w:rPr>
                <w:rFonts w:eastAsia="標楷體" w:cstheme="minorHAnsi"/>
                <w:szCs w:val="24"/>
              </w:rPr>
              <w:lastRenderedPageBreak/>
              <w:t xml:space="preserve">a </w:t>
            </w:r>
            <w:r>
              <w:rPr>
                <w:rFonts w:eastAsia="標楷體" w:cstheme="minorHAnsi"/>
                <w:szCs w:val="24"/>
              </w:rPr>
              <w:t xml:space="preserve">dose of 32.2 mg/kg in </w:t>
            </w:r>
            <w:r w:rsidRPr="00951553">
              <w:rPr>
                <w:rFonts w:eastAsia="標楷體" w:cstheme="minorHAnsi"/>
                <w:strike/>
                <w:color w:val="FF0000"/>
                <w:szCs w:val="24"/>
              </w:rPr>
              <w:t>mice</w:t>
            </w:r>
            <w:r w:rsidRPr="00951553">
              <w:rPr>
                <w:rFonts w:eastAsia="標楷體" w:cstheme="minorHAnsi"/>
                <w:color w:val="FF0000"/>
                <w:szCs w:val="24"/>
              </w:rPr>
              <w:t xml:space="preserve"> </w:t>
            </w:r>
            <w:r w:rsidRPr="00951553">
              <w:rPr>
                <w:rFonts w:eastAsia="標楷體" w:cstheme="minorHAnsi"/>
                <w:color w:val="FF0000"/>
                <w:szCs w:val="24"/>
                <w:u w:val="single"/>
              </w:rPr>
              <w:t>rats</w:t>
            </w:r>
            <w:r>
              <w:rPr>
                <w:rFonts w:eastAsia="標楷體" w:cstheme="minorHAnsi" w:hint="eastAsia"/>
                <w:szCs w:val="24"/>
              </w:rPr>
              <w:t xml:space="preserve"> </w:t>
            </w:r>
            <w:r w:rsidRPr="00951553">
              <w:rPr>
                <w:rFonts w:eastAsia="標楷體" w:cstheme="minorHAnsi"/>
                <w:szCs w:val="24"/>
              </w:rPr>
              <w:t>administered the compound intra peritoneal for 14 days (Ahmed et al, 2012).</w:t>
            </w:r>
          </w:p>
        </w:tc>
        <w:tc>
          <w:tcPr>
            <w:tcW w:w="970" w:type="pct"/>
          </w:tcPr>
          <w:p w:rsidR="00C8590D" w:rsidRPr="00B55920" w:rsidRDefault="00C8590D" w:rsidP="00525292">
            <w:pPr>
              <w:snapToGrid w:val="0"/>
              <w:spacing w:beforeLines="50" w:before="180" w:afterLines="50" w:after="180" w:line="0" w:lineRule="atLeast"/>
              <w:contextualSpacing/>
              <w:rPr>
                <w:rFonts w:eastAsia="標楷體" w:cstheme="minorHAnsi"/>
                <w:szCs w:val="24"/>
              </w:rPr>
            </w:pPr>
          </w:p>
        </w:tc>
      </w:tr>
      <w:tr w:rsidR="00270947" w:rsidRPr="00B55920" w:rsidTr="00E56A2A">
        <w:trPr>
          <w:trHeight w:val="402"/>
        </w:trPr>
        <w:tc>
          <w:tcPr>
            <w:tcW w:w="262" w:type="pct"/>
          </w:tcPr>
          <w:p w:rsidR="00270947" w:rsidRPr="00B55920" w:rsidRDefault="00270947" w:rsidP="00525292">
            <w:pPr>
              <w:snapToGrid w:val="0"/>
              <w:spacing w:beforeLines="50" w:before="180" w:afterLines="50" w:after="180" w:line="0" w:lineRule="atLeast"/>
              <w:contextualSpacing/>
              <w:jc w:val="center"/>
              <w:rPr>
                <w:rFonts w:eastAsia="標楷體" w:cstheme="minorHAnsi"/>
                <w:szCs w:val="24"/>
              </w:rPr>
            </w:pPr>
          </w:p>
        </w:tc>
        <w:tc>
          <w:tcPr>
            <w:tcW w:w="1089" w:type="pct"/>
          </w:tcPr>
          <w:p w:rsidR="00270947" w:rsidRPr="00951553" w:rsidRDefault="00270947" w:rsidP="00525292">
            <w:pPr>
              <w:snapToGrid w:val="0"/>
              <w:spacing w:beforeLines="50" w:before="180" w:afterLines="50" w:after="180" w:line="0" w:lineRule="atLeast"/>
              <w:contextualSpacing/>
              <w:rPr>
                <w:rFonts w:eastAsia="標楷體" w:cstheme="minorHAnsi"/>
                <w:b/>
                <w:szCs w:val="24"/>
              </w:rPr>
            </w:pPr>
            <w:r w:rsidRPr="00270947">
              <w:rPr>
                <w:rFonts w:eastAsia="標楷體" w:cstheme="minorHAnsi"/>
                <w:b/>
                <w:szCs w:val="24"/>
              </w:rPr>
              <w:t>PDE – Oral Exposure</w:t>
            </w:r>
          </w:p>
        </w:tc>
        <w:tc>
          <w:tcPr>
            <w:tcW w:w="2679" w:type="pct"/>
          </w:tcPr>
          <w:p w:rsidR="00270947" w:rsidRDefault="00270947" w:rsidP="005C140E">
            <w:pPr>
              <w:tabs>
                <w:tab w:val="left" w:pos="767"/>
              </w:tabs>
              <w:snapToGrid w:val="0"/>
              <w:spacing w:afterLines="50" w:after="180" w:line="0" w:lineRule="atLeast"/>
              <w:jc w:val="both"/>
              <w:rPr>
                <w:rFonts w:eastAsia="標楷體" w:cstheme="minorHAnsi"/>
                <w:szCs w:val="24"/>
              </w:rPr>
            </w:pPr>
            <w:r w:rsidRPr="00270947">
              <w:rPr>
                <w:rFonts w:eastAsia="標楷體" w:cstheme="minorHAnsi"/>
                <w:szCs w:val="24"/>
              </w:rPr>
              <w:t>The toxicologically significant endpoint for gold exposures is renal t</w:t>
            </w:r>
            <w:r>
              <w:rPr>
                <w:rFonts w:eastAsia="標楷體" w:cstheme="minorHAnsi"/>
                <w:szCs w:val="24"/>
              </w:rPr>
              <w:t xml:space="preserve">oxicity. The study in </w:t>
            </w:r>
            <w:r w:rsidRPr="00270947">
              <w:rPr>
                <w:rFonts w:eastAsia="標楷體" w:cstheme="minorHAnsi"/>
                <w:strike/>
                <w:color w:val="FF0000"/>
                <w:szCs w:val="24"/>
              </w:rPr>
              <w:t>mice</w:t>
            </w:r>
            <w:r w:rsidRPr="00270947">
              <w:rPr>
                <w:rFonts w:eastAsia="標楷體" w:cstheme="minorHAnsi"/>
                <w:color w:val="FF0000"/>
                <w:szCs w:val="24"/>
              </w:rPr>
              <w:t xml:space="preserve"> </w:t>
            </w:r>
            <w:r w:rsidRPr="00270947">
              <w:rPr>
                <w:rFonts w:eastAsia="標楷體" w:cstheme="minorHAnsi"/>
                <w:color w:val="FF0000"/>
                <w:szCs w:val="24"/>
                <w:u w:val="single"/>
              </w:rPr>
              <w:t>rats</w:t>
            </w:r>
            <w:r>
              <w:rPr>
                <w:rFonts w:eastAsia="標楷體" w:cstheme="minorHAnsi" w:hint="eastAsia"/>
                <w:szCs w:val="24"/>
              </w:rPr>
              <w:t xml:space="preserve"> </w:t>
            </w:r>
            <w:r w:rsidRPr="00270947">
              <w:rPr>
                <w:rFonts w:eastAsia="標楷體" w:cstheme="minorHAnsi"/>
                <w:szCs w:val="24"/>
              </w:rPr>
              <w:t>administered Au(3+) by the intra peritoneal route was considered acceptable in setting the or</w:t>
            </w:r>
            <w:r>
              <w:rPr>
                <w:rFonts w:eastAsia="標楷體" w:cstheme="minorHAnsi"/>
                <w:szCs w:val="24"/>
              </w:rPr>
              <w:t>al PDE because</w:t>
            </w:r>
            <w:r w:rsidRPr="00270947">
              <w:rPr>
                <w:rFonts w:eastAsia="標楷體" w:cstheme="minorHAnsi"/>
                <w:szCs w:val="24"/>
              </w:rPr>
              <w:t xml:space="preserve"> the renal endpoint of toxicity is a sensitive endpoint of gold toxicity. Ta</w:t>
            </w:r>
            <w:r>
              <w:rPr>
                <w:rFonts w:eastAsia="標楷體" w:cstheme="minorHAnsi"/>
                <w:szCs w:val="24"/>
              </w:rPr>
              <w:t>king into account the modifying</w:t>
            </w:r>
            <w:r w:rsidRPr="00270947">
              <w:rPr>
                <w:rFonts w:eastAsia="標楷體" w:cstheme="minorHAnsi"/>
                <w:szCs w:val="24"/>
              </w:rPr>
              <w:t xml:space="preserve"> factors (F1-F5 as discussed in Appendix 1), the oral PDE is calculated as:</w:t>
            </w:r>
          </w:p>
          <w:p w:rsidR="00270947" w:rsidRDefault="00270947" w:rsidP="005C140E">
            <w:pPr>
              <w:tabs>
                <w:tab w:val="left" w:pos="767"/>
              </w:tabs>
              <w:snapToGrid w:val="0"/>
              <w:spacing w:afterLines="50" w:after="180" w:line="0" w:lineRule="atLeast"/>
              <w:jc w:val="both"/>
              <w:rPr>
                <w:rFonts w:eastAsia="標楷體" w:cstheme="minorHAnsi"/>
                <w:szCs w:val="24"/>
              </w:rPr>
            </w:pPr>
            <w:r w:rsidRPr="00270947">
              <w:rPr>
                <w:rFonts w:eastAsia="標楷體" w:cstheme="minorHAnsi"/>
                <w:szCs w:val="24"/>
              </w:rPr>
              <w:t xml:space="preserve">PDE = 32.2 mg/kg x 50 kg / </w:t>
            </w:r>
            <w:r w:rsidRPr="00270947">
              <w:rPr>
                <w:rFonts w:eastAsia="標楷體" w:cstheme="minorHAnsi"/>
                <w:strike/>
                <w:color w:val="FF0000"/>
                <w:szCs w:val="24"/>
              </w:rPr>
              <w:t>12</w:t>
            </w:r>
            <w:r w:rsidRPr="00270947">
              <w:rPr>
                <w:rFonts w:eastAsia="標楷體" w:cstheme="minorHAnsi"/>
                <w:szCs w:val="24"/>
              </w:rPr>
              <w:t xml:space="preserve"> </w:t>
            </w:r>
            <w:r w:rsidRPr="00270947">
              <w:rPr>
                <w:rFonts w:eastAsia="標楷體" w:cstheme="minorHAnsi"/>
                <w:color w:val="FF0000"/>
                <w:szCs w:val="24"/>
                <w:u w:val="single"/>
              </w:rPr>
              <w:t>5</w:t>
            </w:r>
            <w:r w:rsidRPr="00270947">
              <w:rPr>
                <w:rFonts w:eastAsia="標楷體" w:cstheme="minorHAnsi"/>
                <w:szCs w:val="24"/>
              </w:rPr>
              <w:t xml:space="preserve"> x 10 x 10 x 1 x 10 = </w:t>
            </w:r>
            <w:r w:rsidRPr="00270947">
              <w:rPr>
                <w:rFonts w:eastAsia="標楷體" w:cstheme="minorHAnsi"/>
                <w:strike/>
                <w:color w:val="FF0000"/>
                <w:szCs w:val="24"/>
              </w:rPr>
              <w:t>134</w:t>
            </w:r>
            <w:r w:rsidRPr="00270947">
              <w:rPr>
                <w:rFonts w:eastAsia="標楷體" w:cstheme="minorHAnsi"/>
                <w:color w:val="FF0000"/>
                <w:szCs w:val="24"/>
              </w:rPr>
              <w:t xml:space="preserve"> </w:t>
            </w:r>
            <w:r w:rsidRPr="00270947">
              <w:rPr>
                <w:rFonts w:eastAsia="標楷體" w:cstheme="minorHAnsi"/>
                <w:color w:val="FF0000"/>
                <w:szCs w:val="24"/>
                <w:u w:val="single"/>
              </w:rPr>
              <w:t>322</w:t>
            </w:r>
            <w:r w:rsidRPr="00270947">
              <w:rPr>
                <w:rFonts w:eastAsia="標楷體" w:cstheme="minorHAnsi"/>
                <w:color w:val="FF0000"/>
                <w:szCs w:val="24"/>
              </w:rPr>
              <w:t xml:space="preserve"> </w:t>
            </w:r>
            <w:r w:rsidRPr="00270947">
              <w:rPr>
                <w:rFonts w:eastAsia="標楷體" w:cstheme="minorHAnsi"/>
                <w:szCs w:val="24"/>
              </w:rPr>
              <w:t>μg/day</w:t>
            </w:r>
          </w:p>
          <w:p w:rsidR="00270947" w:rsidRPr="00951553" w:rsidRDefault="00270947" w:rsidP="005C140E">
            <w:pPr>
              <w:tabs>
                <w:tab w:val="left" w:pos="767"/>
              </w:tabs>
              <w:snapToGrid w:val="0"/>
              <w:spacing w:afterLines="50" w:after="180" w:line="0" w:lineRule="atLeast"/>
              <w:jc w:val="both"/>
              <w:rPr>
                <w:rFonts w:eastAsia="標楷體" w:cstheme="minorHAnsi"/>
                <w:szCs w:val="24"/>
              </w:rPr>
            </w:pPr>
            <w:r w:rsidRPr="00270947">
              <w:rPr>
                <w:rFonts w:eastAsia="標楷體" w:cstheme="minorHAnsi"/>
                <w:szCs w:val="24"/>
              </w:rPr>
              <w:t>A factor of 10 for F5 was chosen because the LOAEL is used to establis</w:t>
            </w:r>
            <w:r>
              <w:rPr>
                <w:rFonts w:eastAsia="標楷體" w:cstheme="minorHAnsi"/>
                <w:szCs w:val="24"/>
              </w:rPr>
              <w:t>h the PDE and the toxicological</w:t>
            </w:r>
            <w:r w:rsidRPr="00270947">
              <w:rPr>
                <w:rFonts w:eastAsia="標楷體" w:cstheme="minorHAnsi"/>
                <w:szCs w:val="24"/>
              </w:rPr>
              <w:t xml:space="preserve"> assessment was not complete.</w:t>
            </w:r>
          </w:p>
        </w:tc>
        <w:tc>
          <w:tcPr>
            <w:tcW w:w="970" w:type="pct"/>
          </w:tcPr>
          <w:p w:rsidR="00270947" w:rsidRPr="00B55920" w:rsidRDefault="00270947" w:rsidP="00525292">
            <w:pPr>
              <w:snapToGrid w:val="0"/>
              <w:spacing w:beforeLines="50" w:before="180" w:afterLines="50" w:after="180" w:line="0" w:lineRule="atLeast"/>
              <w:contextualSpacing/>
              <w:rPr>
                <w:rFonts w:eastAsia="標楷體" w:cstheme="minorHAnsi"/>
                <w:szCs w:val="24"/>
              </w:rPr>
            </w:pPr>
          </w:p>
        </w:tc>
      </w:tr>
      <w:tr w:rsidR="000C7FE2" w:rsidRPr="00B55920" w:rsidTr="00EB6C26">
        <w:tc>
          <w:tcPr>
            <w:tcW w:w="262" w:type="pct"/>
          </w:tcPr>
          <w:p w:rsidR="000C7FE2" w:rsidRPr="00B55920" w:rsidRDefault="000C7FE2" w:rsidP="00525292">
            <w:pPr>
              <w:snapToGrid w:val="0"/>
              <w:spacing w:beforeLines="50" w:before="180" w:afterLines="50" w:after="180" w:line="0" w:lineRule="atLeast"/>
              <w:contextualSpacing/>
              <w:jc w:val="center"/>
              <w:rPr>
                <w:rFonts w:eastAsia="標楷體" w:cstheme="minorHAnsi"/>
                <w:szCs w:val="24"/>
              </w:rPr>
            </w:pPr>
          </w:p>
        </w:tc>
        <w:tc>
          <w:tcPr>
            <w:tcW w:w="1089" w:type="pct"/>
          </w:tcPr>
          <w:p w:rsidR="000C7FE2" w:rsidRPr="007572E6" w:rsidRDefault="005D5D28" w:rsidP="00525292">
            <w:pPr>
              <w:snapToGrid w:val="0"/>
              <w:spacing w:beforeLines="50" w:before="180" w:afterLines="50" w:after="180" w:line="0" w:lineRule="atLeast"/>
              <w:contextualSpacing/>
              <w:rPr>
                <w:rFonts w:eastAsia="標楷體" w:cstheme="minorHAnsi"/>
                <w:b/>
                <w:szCs w:val="24"/>
              </w:rPr>
            </w:pPr>
            <w:r>
              <w:rPr>
                <w:rFonts w:eastAsia="標楷體" w:cstheme="minorHAnsi"/>
                <w:b/>
                <w:szCs w:val="24"/>
              </w:rPr>
              <w:t>PDE – Parenteral</w:t>
            </w:r>
            <w:r w:rsidR="007572E6" w:rsidRPr="007572E6">
              <w:rPr>
                <w:rFonts w:eastAsia="標楷體" w:cstheme="minorHAnsi"/>
                <w:b/>
                <w:szCs w:val="24"/>
              </w:rPr>
              <w:t xml:space="preserve"> Exposure</w:t>
            </w:r>
          </w:p>
        </w:tc>
        <w:tc>
          <w:tcPr>
            <w:tcW w:w="2679" w:type="pct"/>
          </w:tcPr>
          <w:p w:rsidR="000C7FE2" w:rsidRDefault="007572E6" w:rsidP="005C140E">
            <w:pPr>
              <w:snapToGrid w:val="0"/>
              <w:spacing w:afterLines="50" w:after="180" w:line="0" w:lineRule="atLeast"/>
              <w:jc w:val="both"/>
              <w:rPr>
                <w:rFonts w:eastAsia="標楷體" w:cstheme="minorHAnsi"/>
                <w:szCs w:val="24"/>
              </w:rPr>
            </w:pPr>
            <w:r w:rsidRPr="007572E6">
              <w:rPr>
                <w:rFonts w:eastAsia="標楷體" w:cstheme="minorHAnsi"/>
                <w:szCs w:val="24"/>
              </w:rPr>
              <w:t>In humans, 50 mg intramuscular injections of gold sodium thiomalate r</w:t>
            </w:r>
            <w:r>
              <w:rPr>
                <w:rFonts w:eastAsia="標楷體" w:cstheme="minorHAnsi"/>
                <w:szCs w:val="24"/>
              </w:rPr>
              <w:t>esulted in &gt;95% bioavailability</w:t>
            </w:r>
            <w:r w:rsidRPr="007572E6">
              <w:rPr>
                <w:rFonts w:eastAsia="標楷體" w:cstheme="minorHAnsi"/>
                <w:szCs w:val="24"/>
              </w:rPr>
              <w:t xml:space="preserve"> (Blocka et al, 1986). In rabbits, approximately 70% of the gold sodium t</w:t>
            </w:r>
            <w:r>
              <w:rPr>
                <w:rFonts w:eastAsia="標楷體" w:cstheme="minorHAnsi"/>
                <w:szCs w:val="24"/>
              </w:rPr>
              <w:t>hiomalate was absorbed after an</w:t>
            </w:r>
            <w:r w:rsidRPr="007572E6">
              <w:rPr>
                <w:rFonts w:eastAsia="標楷體" w:cstheme="minorHAnsi"/>
                <w:szCs w:val="24"/>
              </w:rPr>
              <w:t xml:space="preserve"> intramuscular injection of 2/mg/kg (Melethil and Schoepp, 1987). Based on</w:t>
            </w:r>
            <w:r>
              <w:rPr>
                <w:rFonts w:eastAsia="標楷體" w:cstheme="minorHAnsi"/>
                <w:szCs w:val="24"/>
              </w:rPr>
              <w:t xml:space="preserve"> high bioavailability, and that</w:t>
            </w:r>
            <w:r w:rsidRPr="007572E6">
              <w:rPr>
                <w:rFonts w:eastAsia="標楷體" w:cstheme="minorHAnsi"/>
                <w:szCs w:val="24"/>
              </w:rPr>
              <w:t xml:space="preserve"> a study by the intra peritoneal route was used to set the oral PDE, the pare</w:t>
            </w:r>
            <w:r>
              <w:rPr>
                <w:rFonts w:eastAsia="標楷體" w:cstheme="minorHAnsi"/>
                <w:szCs w:val="24"/>
              </w:rPr>
              <w:t>nteral PDE is equal to the oral</w:t>
            </w:r>
            <w:r w:rsidRPr="007572E6">
              <w:rPr>
                <w:rFonts w:eastAsia="標楷體" w:cstheme="minorHAnsi"/>
                <w:szCs w:val="24"/>
              </w:rPr>
              <w:t xml:space="preserve"> PDE.</w:t>
            </w:r>
          </w:p>
          <w:p w:rsidR="007572E6" w:rsidRPr="00B55920" w:rsidRDefault="007572E6" w:rsidP="005C140E">
            <w:pPr>
              <w:snapToGrid w:val="0"/>
              <w:spacing w:afterLines="50" w:after="180" w:line="0" w:lineRule="atLeast"/>
              <w:jc w:val="both"/>
              <w:rPr>
                <w:rFonts w:eastAsia="標楷體" w:cstheme="minorHAnsi"/>
                <w:szCs w:val="24"/>
              </w:rPr>
            </w:pPr>
            <w:r w:rsidRPr="007572E6">
              <w:rPr>
                <w:rFonts w:eastAsia="標楷體" w:cstheme="minorHAnsi"/>
                <w:szCs w:val="24"/>
              </w:rPr>
              <w:t xml:space="preserve">PDE = </w:t>
            </w:r>
            <w:r w:rsidRPr="007572E6">
              <w:rPr>
                <w:rFonts w:eastAsia="標楷體" w:cstheme="minorHAnsi"/>
                <w:strike/>
                <w:color w:val="FF0000"/>
                <w:szCs w:val="24"/>
              </w:rPr>
              <w:t>134</w:t>
            </w:r>
            <w:r w:rsidRPr="007572E6">
              <w:rPr>
                <w:rFonts w:eastAsia="標楷體" w:cstheme="minorHAnsi"/>
                <w:color w:val="FF0000"/>
                <w:szCs w:val="24"/>
              </w:rPr>
              <w:t xml:space="preserve"> </w:t>
            </w:r>
            <w:r w:rsidRPr="007572E6">
              <w:rPr>
                <w:rFonts w:eastAsia="標楷體" w:cstheme="minorHAnsi"/>
                <w:color w:val="FF0000"/>
                <w:szCs w:val="24"/>
                <w:u w:val="single"/>
              </w:rPr>
              <w:t>322</w:t>
            </w:r>
            <w:r w:rsidRPr="007572E6">
              <w:rPr>
                <w:rFonts w:eastAsia="標楷體" w:cstheme="minorHAnsi"/>
                <w:szCs w:val="24"/>
              </w:rPr>
              <w:t xml:space="preserve"> μg/day</w:t>
            </w:r>
          </w:p>
        </w:tc>
        <w:tc>
          <w:tcPr>
            <w:tcW w:w="970" w:type="pct"/>
          </w:tcPr>
          <w:p w:rsidR="000C7FE2" w:rsidRPr="00B55920" w:rsidRDefault="000C7FE2" w:rsidP="00525292">
            <w:pPr>
              <w:snapToGrid w:val="0"/>
              <w:spacing w:beforeLines="50" w:before="180" w:afterLines="50" w:after="180" w:line="0" w:lineRule="atLeast"/>
              <w:contextualSpacing/>
              <w:rPr>
                <w:rFonts w:eastAsia="標楷體" w:cstheme="minorHAnsi"/>
                <w:szCs w:val="24"/>
              </w:rPr>
            </w:pPr>
          </w:p>
        </w:tc>
      </w:tr>
      <w:tr w:rsidR="00640066" w:rsidRPr="00B55920" w:rsidTr="00EB6C26">
        <w:tc>
          <w:tcPr>
            <w:tcW w:w="262" w:type="pct"/>
          </w:tcPr>
          <w:p w:rsidR="00640066" w:rsidRPr="00B55920" w:rsidRDefault="00640066" w:rsidP="00525292">
            <w:pPr>
              <w:snapToGrid w:val="0"/>
              <w:spacing w:beforeLines="50" w:before="180" w:afterLines="50" w:after="180" w:line="0" w:lineRule="atLeast"/>
              <w:contextualSpacing/>
              <w:jc w:val="center"/>
              <w:rPr>
                <w:rFonts w:eastAsia="標楷體" w:cstheme="minorHAnsi"/>
                <w:szCs w:val="24"/>
              </w:rPr>
            </w:pPr>
          </w:p>
        </w:tc>
        <w:tc>
          <w:tcPr>
            <w:tcW w:w="1089" w:type="pct"/>
          </w:tcPr>
          <w:p w:rsidR="00640066" w:rsidRDefault="00640066" w:rsidP="00525292">
            <w:pPr>
              <w:snapToGrid w:val="0"/>
              <w:spacing w:beforeLines="50" w:before="180" w:afterLines="50" w:after="180" w:line="0" w:lineRule="atLeast"/>
              <w:contextualSpacing/>
              <w:rPr>
                <w:rFonts w:eastAsia="標楷體" w:cstheme="minorHAnsi"/>
                <w:b/>
                <w:szCs w:val="24"/>
              </w:rPr>
            </w:pPr>
            <w:r w:rsidRPr="00640066">
              <w:rPr>
                <w:rFonts w:eastAsia="標楷體" w:cstheme="minorHAnsi"/>
                <w:b/>
                <w:szCs w:val="24"/>
              </w:rPr>
              <w:t>PDE – Inhalation Exposure</w:t>
            </w:r>
          </w:p>
        </w:tc>
        <w:tc>
          <w:tcPr>
            <w:tcW w:w="2679" w:type="pct"/>
          </w:tcPr>
          <w:p w:rsidR="00640066" w:rsidRPr="00640066" w:rsidRDefault="00640066" w:rsidP="00640066">
            <w:pPr>
              <w:snapToGrid w:val="0"/>
              <w:spacing w:afterLines="50" w:after="180" w:line="0" w:lineRule="atLeast"/>
              <w:jc w:val="both"/>
              <w:rPr>
                <w:rFonts w:eastAsia="標楷體" w:cstheme="minorHAnsi" w:hint="eastAsia"/>
                <w:szCs w:val="24"/>
              </w:rPr>
            </w:pPr>
            <w:r w:rsidRPr="00640066">
              <w:rPr>
                <w:rFonts w:eastAsia="標楷體" w:cstheme="minorHAnsi"/>
                <w:szCs w:val="24"/>
              </w:rPr>
              <w:t>In the absence of relevant inhalation and parenteral data, including the potential l</w:t>
            </w:r>
            <w:r>
              <w:rPr>
                <w:rFonts w:eastAsia="標楷體" w:cstheme="minorHAnsi"/>
                <w:szCs w:val="24"/>
              </w:rPr>
              <w:t>ocal tissue toxicity of the</w:t>
            </w:r>
            <w:r w:rsidRPr="00640066">
              <w:rPr>
                <w:rFonts w:eastAsia="標楷體" w:cstheme="minorHAnsi"/>
                <w:szCs w:val="24"/>
              </w:rPr>
              <w:t xml:space="preserve"> effects of gold in lungs, the </w:t>
            </w:r>
            <w:r w:rsidRPr="00640066">
              <w:rPr>
                <w:rFonts w:eastAsia="標楷體" w:cstheme="minorHAnsi"/>
                <w:color w:val="FF0000"/>
                <w:szCs w:val="24"/>
              </w:rPr>
              <w:t xml:space="preserve">inhalation </w:t>
            </w:r>
            <w:r w:rsidRPr="00640066">
              <w:rPr>
                <w:rFonts w:eastAsia="標楷體" w:cstheme="minorHAnsi"/>
                <w:strike/>
                <w:color w:val="FF0000"/>
                <w:szCs w:val="24"/>
              </w:rPr>
              <w:t>parenteral</w:t>
            </w:r>
            <w:r w:rsidRPr="00640066">
              <w:rPr>
                <w:rFonts w:eastAsia="標楷體" w:cstheme="minorHAnsi"/>
                <w:color w:val="FF0000"/>
                <w:szCs w:val="24"/>
              </w:rPr>
              <w:t xml:space="preserve"> </w:t>
            </w:r>
            <w:r w:rsidRPr="00640066">
              <w:rPr>
                <w:rFonts w:eastAsia="標楷體" w:cstheme="minorHAnsi"/>
                <w:szCs w:val="24"/>
              </w:rPr>
              <w:t>PDE was calculate</w:t>
            </w:r>
            <w:r>
              <w:rPr>
                <w:rFonts w:eastAsia="標楷體" w:cstheme="minorHAnsi"/>
                <w:szCs w:val="24"/>
              </w:rPr>
              <w:t>d by dividing the oral PDE by a</w:t>
            </w:r>
            <w:r w:rsidRPr="00640066">
              <w:rPr>
                <w:rFonts w:eastAsia="標楷體" w:cstheme="minorHAnsi"/>
                <w:szCs w:val="24"/>
              </w:rPr>
              <w:t xml:space="preserve"> modifying factor of 100</w:t>
            </w:r>
            <w:r>
              <w:rPr>
                <w:rFonts w:eastAsia="標楷體" w:cstheme="minorHAnsi"/>
                <w:szCs w:val="24"/>
              </w:rPr>
              <w:t xml:space="preserve"> (as described in Section 3.1).</w:t>
            </w:r>
          </w:p>
          <w:p w:rsidR="00640066" w:rsidRPr="007572E6" w:rsidRDefault="00640066" w:rsidP="00640066">
            <w:pPr>
              <w:snapToGrid w:val="0"/>
              <w:spacing w:afterLines="50" w:after="180" w:line="0" w:lineRule="atLeast"/>
              <w:jc w:val="both"/>
              <w:rPr>
                <w:rFonts w:eastAsia="標楷體" w:cstheme="minorHAnsi"/>
                <w:szCs w:val="24"/>
              </w:rPr>
            </w:pPr>
            <w:r w:rsidRPr="00640066">
              <w:rPr>
                <w:rFonts w:eastAsia="標楷體" w:cstheme="minorHAnsi"/>
                <w:szCs w:val="24"/>
              </w:rPr>
              <w:t xml:space="preserve">PDE = </w:t>
            </w:r>
            <w:r w:rsidRPr="00640066">
              <w:rPr>
                <w:rFonts w:eastAsia="標楷體" w:cstheme="minorHAnsi"/>
                <w:strike/>
                <w:color w:val="FF0000"/>
                <w:szCs w:val="24"/>
              </w:rPr>
              <w:t>134</w:t>
            </w:r>
            <w:r w:rsidRPr="00640066">
              <w:rPr>
                <w:rFonts w:eastAsia="標楷體" w:cstheme="minorHAnsi"/>
                <w:color w:val="FF0000"/>
                <w:szCs w:val="24"/>
              </w:rPr>
              <w:t xml:space="preserve"> 322</w:t>
            </w:r>
            <w:r w:rsidRPr="00640066">
              <w:rPr>
                <w:rFonts w:eastAsia="標楷體" w:cstheme="minorHAnsi"/>
                <w:szCs w:val="24"/>
              </w:rPr>
              <w:t xml:space="preserve"> µg/d / 100 =</w:t>
            </w:r>
            <w:r w:rsidRPr="00640066">
              <w:rPr>
                <w:rFonts w:eastAsia="標楷體" w:cstheme="minorHAnsi"/>
                <w:color w:val="FF0000"/>
                <w:szCs w:val="24"/>
              </w:rPr>
              <w:t xml:space="preserve"> 3.22 </w:t>
            </w:r>
            <w:r w:rsidRPr="00640066">
              <w:rPr>
                <w:rFonts w:eastAsia="標楷體" w:cstheme="minorHAnsi"/>
                <w:strike/>
                <w:color w:val="FF0000"/>
                <w:szCs w:val="24"/>
              </w:rPr>
              <w:t>31.34</w:t>
            </w:r>
            <w:r w:rsidRPr="00640066">
              <w:rPr>
                <w:rFonts w:eastAsia="標楷體" w:cstheme="minorHAnsi"/>
                <w:szCs w:val="24"/>
              </w:rPr>
              <w:t xml:space="preserve"> µg/day </w:t>
            </w:r>
          </w:p>
        </w:tc>
        <w:tc>
          <w:tcPr>
            <w:tcW w:w="970" w:type="pct"/>
          </w:tcPr>
          <w:p w:rsidR="00640066" w:rsidRPr="00B55920" w:rsidRDefault="00640066" w:rsidP="00525292">
            <w:pPr>
              <w:snapToGrid w:val="0"/>
              <w:spacing w:beforeLines="50" w:before="180" w:afterLines="50" w:after="180" w:line="0" w:lineRule="atLeast"/>
              <w:contextualSpacing/>
              <w:rPr>
                <w:rFonts w:eastAsia="標楷體" w:cstheme="minorHAnsi"/>
                <w:szCs w:val="24"/>
              </w:rPr>
            </w:pPr>
          </w:p>
        </w:tc>
      </w:tr>
      <w:tr w:rsidR="000C7FE2" w:rsidRPr="00B55920" w:rsidTr="00EB6C26">
        <w:tc>
          <w:tcPr>
            <w:tcW w:w="262" w:type="pct"/>
          </w:tcPr>
          <w:p w:rsidR="000C7FE2" w:rsidRPr="00B55920" w:rsidRDefault="000C7FE2" w:rsidP="00525292">
            <w:pPr>
              <w:snapToGrid w:val="0"/>
              <w:spacing w:beforeLines="50" w:before="180" w:afterLines="50" w:after="180" w:line="0" w:lineRule="atLeast"/>
              <w:contextualSpacing/>
              <w:jc w:val="center"/>
              <w:rPr>
                <w:rFonts w:eastAsia="標楷體" w:cstheme="minorHAnsi"/>
                <w:szCs w:val="24"/>
              </w:rPr>
            </w:pPr>
          </w:p>
        </w:tc>
        <w:tc>
          <w:tcPr>
            <w:tcW w:w="1089" w:type="pct"/>
          </w:tcPr>
          <w:p w:rsidR="000C7FE2" w:rsidRPr="00F412EA" w:rsidRDefault="00F412EA" w:rsidP="00525292">
            <w:pPr>
              <w:snapToGrid w:val="0"/>
              <w:spacing w:beforeLines="50" w:before="180" w:afterLines="50" w:after="180" w:line="0" w:lineRule="atLeast"/>
              <w:contextualSpacing/>
              <w:rPr>
                <w:rFonts w:eastAsia="標楷體" w:cstheme="minorHAnsi"/>
                <w:b/>
                <w:szCs w:val="24"/>
              </w:rPr>
            </w:pPr>
            <w:r w:rsidRPr="00F412EA">
              <w:rPr>
                <w:rFonts w:eastAsia="標楷體" w:cstheme="minorHAnsi"/>
                <w:b/>
                <w:szCs w:val="24"/>
              </w:rPr>
              <w:t>REFERENCES</w:t>
            </w:r>
          </w:p>
        </w:tc>
        <w:tc>
          <w:tcPr>
            <w:tcW w:w="2679" w:type="pct"/>
          </w:tcPr>
          <w:p w:rsidR="00F412EA" w:rsidRPr="00F412EA" w:rsidRDefault="00F412EA" w:rsidP="005C140E">
            <w:pPr>
              <w:snapToGrid w:val="0"/>
              <w:spacing w:afterLines="50" w:after="180" w:line="0" w:lineRule="atLeast"/>
              <w:jc w:val="both"/>
              <w:rPr>
                <w:rFonts w:eastAsia="標楷體" w:cstheme="minorHAnsi"/>
                <w:szCs w:val="24"/>
              </w:rPr>
            </w:pPr>
            <w:r w:rsidRPr="00F412EA">
              <w:rPr>
                <w:rFonts w:eastAsia="標楷體" w:cstheme="minorHAnsi"/>
                <w:szCs w:val="24"/>
              </w:rPr>
              <w:t>Abraham GE, Himmel PB. Management of rheumatoid arthritis: rationale fo</w:t>
            </w:r>
            <w:r>
              <w:rPr>
                <w:rFonts w:eastAsia="標楷體" w:cstheme="minorHAnsi"/>
                <w:szCs w:val="24"/>
              </w:rPr>
              <w:t>r the use of colloidal metallic</w:t>
            </w:r>
            <w:r>
              <w:rPr>
                <w:rFonts w:eastAsia="標楷體" w:cstheme="minorHAnsi" w:hint="eastAsia"/>
                <w:szCs w:val="24"/>
              </w:rPr>
              <w:t xml:space="preserve"> </w:t>
            </w:r>
            <w:r w:rsidRPr="00F412EA">
              <w:rPr>
                <w:rFonts w:eastAsia="標楷體" w:cstheme="minorHAnsi"/>
                <w:szCs w:val="24"/>
              </w:rPr>
              <w:t>gold. J Nutr Environ Med 1997;7:295-305.</w:t>
            </w:r>
          </w:p>
          <w:p w:rsidR="00F412EA" w:rsidRPr="00F412EA" w:rsidRDefault="00F412EA" w:rsidP="005C140E">
            <w:pPr>
              <w:snapToGrid w:val="0"/>
              <w:spacing w:afterLines="50" w:after="180" w:line="0" w:lineRule="atLeast"/>
              <w:jc w:val="both"/>
              <w:rPr>
                <w:rFonts w:eastAsia="標楷體" w:cstheme="minorHAnsi"/>
                <w:szCs w:val="24"/>
              </w:rPr>
            </w:pPr>
            <w:r w:rsidRPr="00F412EA">
              <w:rPr>
                <w:rFonts w:eastAsia="標楷體" w:cstheme="minorHAnsi"/>
                <w:szCs w:val="24"/>
              </w:rPr>
              <w:t>Ahmed A, Al Tamimi DM, Isab AA, Alkhawajah AMM, Shawarby MA.</w:t>
            </w:r>
            <w:r>
              <w:rPr>
                <w:rFonts w:eastAsia="標楷體" w:cstheme="minorHAnsi"/>
                <w:szCs w:val="24"/>
              </w:rPr>
              <w:t xml:space="preserve"> Histological changes in kidney</w:t>
            </w:r>
            <w:r>
              <w:rPr>
                <w:rFonts w:eastAsia="標楷體" w:cstheme="minorHAnsi" w:hint="eastAsia"/>
                <w:szCs w:val="24"/>
              </w:rPr>
              <w:t xml:space="preserve"> </w:t>
            </w:r>
            <w:r w:rsidRPr="00F412EA">
              <w:rPr>
                <w:rFonts w:eastAsia="標楷體" w:cstheme="minorHAnsi"/>
                <w:szCs w:val="24"/>
              </w:rPr>
              <w:t>and liver of rats due to gold (III) compound [Au(en)Cl2]Cl. PLoS ONE 2012;7(12):1-11.</w:t>
            </w:r>
          </w:p>
          <w:p w:rsidR="00F412EA" w:rsidRPr="00F412EA" w:rsidRDefault="00F412EA" w:rsidP="005C140E">
            <w:pPr>
              <w:snapToGrid w:val="0"/>
              <w:spacing w:afterLines="50" w:after="180" w:line="0" w:lineRule="atLeast"/>
              <w:jc w:val="both"/>
              <w:rPr>
                <w:rFonts w:eastAsia="標楷體" w:cstheme="minorHAnsi"/>
                <w:szCs w:val="24"/>
              </w:rPr>
            </w:pPr>
            <w:r w:rsidRPr="00F412EA">
              <w:rPr>
                <w:rFonts w:eastAsia="標楷體" w:cstheme="minorHAnsi"/>
                <w:szCs w:val="24"/>
              </w:rPr>
              <w:t xml:space="preserve">Blocka KL, Paulus HE, Furst DE. Clinical pharmacokinetics of oral and </w:t>
            </w:r>
            <w:r>
              <w:rPr>
                <w:rFonts w:eastAsia="標楷體" w:cstheme="minorHAnsi"/>
                <w:szCs w:val="24"/>
              </w:rPr>
              <w:t xml:space="preserve">injectable gold </w:t>
            </w:r>
            <w:r>
              <w:rPr>
                <w:rFonts w:eastAsia="標楷體" w:cstheme="minorHAnsi"/>
                <w:szCs w:val="24"/>
              </w:rPr>
              <w:lastRenderedPageBreak/>
              <w:t>compounds. Clin</w:t>
            </w:r>
            <w:r w:rsidRPr="00F412EA">
              <w:rPr>
                <w:rFonts w:eastAsia="標楷體" w:cstheme="minorHAnsi"/>
                <w:szCs w:val="24"/>
              </w:rPr>
              <w:t>Pharmacokinet 1986;11:133-43.</w:t>
            </w:r>
          </w:p>
          <w:p w:rsidR="00F412EA" w:rsidRPr="00F412EA" w:rsidRDefault="00F412EA" w:rsidP="005C140E">
            <w:pPr>
              <w:snapToGrid w:val="0"/>
              <w:spacing w:afterLines="50" w:after="180" w:line="0" w:lineRule="atLeast"/>
              <w:jc w:val="both"/>
              <w:rPr>
                <w:rFonts w:eastAsia="標楷體" w:cstheme="minorHAnsi"/>
                <w:szCs w:val="24"/>
              </w:rPr>
            </w:pPr>
            <w:r w:rsidRPr="00F412EA">
              <w:rPr>
                <w:rFonts w:eastAsia="標楷體" w:cstheme="minorHAnsi"/>
                <w:szCs w:val="24"/>
              </w:rPr>
              <w:t>Lee JC, Dushkin M, Eyring EJ, Engleman EP, Hopper J Jr. Renal Lesion</w:t>
            </w:r>
            <w:r>
              <w:rPr>
                <w:rFonts w:eastAsia="標楷體" w:cstheme="minorHAnsi"/>
                <w:szCs w:val="24"/>
              </w:rPr>
              <w:t>s Associated with Gold Therapy:</w:t>
            </w:r>
            <w:r>
              <w:rPr>
                <w:rFonts w:eastAsia="標楷體" w:cstheme="minorHAnsi" w:hint="eastAsia"/>
                <w:szCs w:val="24"/>
              </w:rPr>
              <w:t xml:space="preserve"> </w:t>
            </w:r>
            <w:r w:rsidRPr="00F412EA">
              <w:rPr>
                <w:rFonts w:eastAsia="標楷體" w:cstheme="minorHAnsi"/>
                <w:szCs w:val="24"/>
              </w:rPr>
              <w:t>Light and Electron Microscopic Studies. Arthr Rheum 1965;8(5):1-13.</w:t>
            </w:r>
          </w:p>
          <w:p w:rsidR="00F412EA" w:rsidRPr="00F412EA" w:rsidRDefault="00F412EA" w:rsidP="005C140E">
            <w:pPr>
              <w:snapToGrid w:val="0"/>
              <w:spacing w:afterLines="50" w:after="180" w:line="0" w:lineRule="atLeast"/>
              <w:jc w:val="both"/>
              <w:rPr>
                <w:rFonts w:eastAsia="標楷體" w:cstheme="minorHAnsi"/>
                <w:szCs w:val="24"/>
              </w:rPr>
            </w:pPr>
            <w:r w:rsidRPr="00F412EA">
              <w:rPr>
                <w:rFonts w:eastAsia="標楷體" w:cstheme="minorHAnsi"/>
                <w:szCs w:val="24"/>
              </w:rPr>
              <w:t>Melethil S, Schoepp D. Pharmacokinetics of gold sodium thiomalate in ra</w:t>
            </w:r>
            <w:r>
              <w:rPr>
                <w:rFonts w:eastAsia="標楷體" w:cstheme="minorHAnsi"/>
                <w:szCs w:val="24"/>
              </w:rPr>
              <w:t>bbits. Pharm Res 1987;4(4):332-</w:t>
            </w:r>
            <w:r w:rsidRPr="00F412EA">
              <w:rPr>
                <w:rFonts w:eastAsia="標楷體" w:cstheme="minorHAnsi"/>
                <w:szCs w:val="24"/>
              </w:rPr>
              <w:t>6.</w:t>
            </w:r>
          </w:p>
          <w:p w:rsidR="00F412EA" w:rsidRPr="00F412EA" w:rsidRDefault="00F412EA" w:rsidP="005C140E">
            <w:pPr>
              <w:snapToGrid w:val="0"/>
              <w:spacing w:afterLines="50" w:after="180" w:line="0" w:lineRule="atLeast"/>
              <w:jc w:val="both"/>
              <w:rPr>
                <w:rFonts w:eastAsia="標楷體" w:cstheme="minorHAnsi"/>
                <w:szCs w:val="24"/>
              </w:rPr>
            </w:pPr>
            <w:r w:rsidRPr="00F412EA">
              <w:rPr>
                <w:rFonts w:eastAsia="標楷體" w:cstheme="minorHAnsi"/>
                <w:szCs w:val="24"/>
              </w:rPr>
              <w:t>Payne BJ, Arena E. The subacute and chronic toxicity of SK&amp;F 36914 and SK</w:t>
            </w:r>
            <w:r>
              <w:rPr>
                <w:rFonts w:eastAsia="標楷體" w:cstheme="minorHAnsi"/>
                <w:szCs w:val="24"/>
              </w:rPr>
              <w:t>&amp;F D-39162 in dogs. Vet</w:t>
            </w:r>
            <w:r>
              <w:rPr>
                <w:rFonts w:eastAsia="標楷體" w:cstheme="minorHAnsi" w:hint="eastAsia"/>
                <w:szCs w:val="24"/>
              </w:rPr>
              <w:t xml:space="preserve"> </w:t>
            </w:r>
            <w:r w:rsidRPr="00F412EA">
              <w:rPr>
                <w:rFonts w:eastAsia="標楷體" w:cstheme="minorHAnsi"/>
                <w:szCs w:val="24"/>
              </w:rPr>
              <w:t>Pathol 1978;15(suppl 5): 9-12.</w:t>
            </w:r>
          </w:p>
          <w:p w:rsidR="00F412EA" w:rsidRPr="00F412EA" w:rsidRDefault="00F412EA" w:rsidP="005C140E">
            <w:pPr>
              <w:snapToGrid w:val="0"/>
              <w:spacing w:afterLines="50" w:after="180" w:line="0" w:lineRule="atLeast"/>
              <w:jc w:val="both"/>
              <w:rPr>
                <w:rFonts w:eastAsia="標楷體" w:cstheme="minorHAnsi"/>
                <w:szCs w:val="24"/>
              </w:rPr>
            </w:pPr>
            <w:r w:rsidRPr="00F412EA">
              <w:rPr>
                <w:rFonts w:eastAsia="標楷體" w:cstheme="minorHAnsi"/>
                <w:szCs w:val="24"/>
              </w:rPr>
              <w:t>Payne BJ, Saunders LZ. Heavy metal nephropathy of rodents. Vet Pathol 1978;15(suppl 5):51-87.</w:t>
            </w:r>
          </w:p>
          <w:p w:rsidR="000C7FE2" w:rsidRPr="00B55920" w:rsidRDefault="00F412EA" w:rsidP="005C140E">
            <w:pPr>
              <w:snapToGrid w:val="0"/>
              <w:spacing w:afterLines="50" w:after="180" w:line="0" w:lineRule="atLeast"/>
              <w:jc w:val="both"/>
              <w:rPr>
                <w:rFonts w:eastAsia="標楷體" w:cstheme="minorHAnsi"/>
                <w:szCs w:val="24"/>
              </w:rPr>
            </w:pPr>
            <w:r>
              <w:rPr>
                <w:rFonts w:eastAsia="標楷體" w:cstheme="minorHAnsi" w:hint="eastAsia"/>
                <w:szCs w:val="24"/>
              </w:rPr>
              <w:t>T</w:t>
            </w:r>
            <w:r w:rsidRPr="00F412EA">
              <w:rPr>
                <w:rFonts w:eastAsia="標楷體" w:cstheme="minorHAnsi"/>
                <w:szCs w:val="24"/>
              </w:rPr>
              <w:t>elles JH, Brode S, Chabanas M. Cationic gold (I) complexes: highly efficient catalysts for the addition of</w:t>
            </w:r>
            <w:r>
              <w:rPr>
                <w:rFonts w:eastAsia="標楷體" w:cstheme="minorHAnsi" w:hint="eastAsia"/>
                <w:szCs w:val="24"/>
              </w:rPr>
              <w:t xml:space="preserve"> </w:t>
            </w:r>
            <w:r w:rsidRPr="00F412EA">
              <w:rPr>
                <w:rFonts w:eastAsia="標楷體" w:cstheme="minorHAnsi"/>
                <w:szCs w:val="24"/>
              </w:rPr>
              <w:t>alcohols to alkynes. Angew Chem Int Ed 1998;37:1415-18.</w:t>
            </w:r>
          </w:p>
        </w:tc>
        <w:tc>
          <w:tcPr>
            <w:tcW w:w="970" w:type="pct"/>
          </w:tcPr>
          <w:p w:rsidR="000C7FE2" w:rsidRPr="00B55920" w:rsidRDefault="000C7FE2" w:rsidP="00525292">
            <w:pPr>
              <w:snapToGrid w:val="0"/>
              <w:spacing w:beforeLines="50" w:before="180" w:afterLines="50" w:after="180" w:line="0" w:lineRule="atLeast"/>
              <w:contextualSpacing/>
              <w:rPr>
                <w:rFonts w:eastAsia="標楷體" w:cstheme="minorHAnsi"/>
                <w:szCs w:val="24"/>
              </w:rPr>
            </w:pPr>
          </w:p>
        </w:tc>
      </w:tr>
      <w:tr w:rsidR="005D1049" w:rsidRPr="00B55920" w:rsidTr="005D1049">
        <w:tc>
          <w:tcPr>
            <w:tcW w:w="5000" w:type="pct"/>
            <w:gridSpan w:val="4"/>
          </w:tcPr>
          <w:p w:rsidR="005D1049" w:rsidRDefault="00693F40" w:rsidP="00525292">
            <w:pPr>
              <w:snapToGrid w:val="0"/>
              <w:spacing w:beforeLines="50" w:before="180" w:afterLines="50" w:after="180" w:line="0" w:lineRule="atLeast"/>
              <w:contextualSpacing/>
              <w:rPr>
                <w:rFonts w:eastAsia="標楷體" w:cstheme="minorHAnsi"/>
                <w:b/>
                <w:color w:val="FF0000"/>
                <w:sz w:val="28"/>
                <w:szCs w:val="24"/>
              </w:rPr>
            </w:pPr>
            <w:r w:rsidRPr="00693F40">
              <w:rPr>
                <w:rFonts w:eastAsia="標楷體" w:cstheme="minorHAnsi"/>
                <w:b/>
                <w:color w:val="FF0000"/>
                <w:sz w:val="28"/>
                <w:szCs w:val="24"/>
              </w:rPr>
              <w:t xml:space="preserve">Part 3 - Q3D Appendix 3 Extract – Correction of </w:t>
            </w:r>
            <w:r w:rsidRPr="00693F40">
              <w:rPr>
                <w:rFonts w:eastAsia="標楷體" w:cstheme="minorHAnsi"/>
                <w:b/>
                <w:color w:val="FF0000"/>
                <w:sz w:val="28"/>
                <w:szCs w:val="24"/>
                <w:u w:val="single"/>
              </w:rPr>
              <w:t>Silver</w:t>
            </w:r>
            <w:r w:rsidRPr="00693F40">
              <w:rPr>
                <w:rFonts w:eastAsia="標楷體" w:cstheme="minorHAnsi"/>
                <w:b/>
                <w:color w:val="FF0000"/>
                <w:sz w:val="28"/>
                <w:szCs w:val="24"/>
              </w:rPr>
              <w:t xml:space="preserve"> Monograph</w:t>
            </w:r>
          </w:p>
          <w:p w:rsidR="006B7164" w:rsidRPr="006B7164" w:rsidRDefault="006B7164" w:rsidP="00525292">
            <w:pPr>
              <w:snapToGrid w:val="0"/>
              <w:spacing w:beforeLines="50" w:before="180" w:afterLines="50" w:after="180" w:line="0" w:lineRule="atLeast"/>
              <w:contextualSpacing/>
              <w:rPr>
                <w:rFonts w:eastAsia="標楷體" w:cstheme="minorHAnsi"/>
                <w:color w:val="FF0000"/>
                <w:sz w:val="28"/>
                <w:szCs w:val="24"/>
              </w:rPr>
            </w:pPr>
            <w:r w:rsidRPr="006B7164">
              <w:rPr>
                <w:rFonts w:eastAsia="標楷體" w:cstheme="minorHAnsi"/>
                <w:color w:val="FF0000"/>
                <w:sz w:val="28"/>
                <w:szCs w:val="24"/>
              </w:rPr>
              <w:t>Changes proposed to Appendix 3 are shown in track change, an</w:t>
            </w:r>
            <w:r>
              <w:rPr>
                <w:rFonts w:eastAsia="標楷體" w:cstheme="minorHAnsi"/>
                <w:color w:val="FF0000"/>
                <w:sz w:val="28"/>
                <w:szCs w:val="24"/>
              </w:rPr>
              <w:t>d are intended to be integrated</w:t>
            </w:r>
            <w:r>
              <w:rPr>
                <w:rFonts w:eastAsia="標楷體" w:cstheme="minorHAnsi" w:hint="eastAsia"/>
                <w:color w:val="FF0000"/>
                <w:sz w:val="28"/>
                <w:szCs w:val="24"/>
              </w:rPr>
              <w:t xml:space="preserve"> </w:t>
            </w:r>
            <w:r w:rsidRPr="006B7164">
              <w:rPr>
                <w:rFonts w:eastAsia="標楷體" w:cstheme="minorHAnsi"/>
                <w:color w:val="FF0000"/>
                <w:sz w:val="28"/>
                <w:szCs w:val="24"/>
              </w:rPr>
              <w:t>into the Q3D(R2) Guideline</w:t>
            </w:r>
          </w:p>
        </w:tc>
      </w:tr>
      <w:tr w:rsidR="00693F40" w:rsidRPr="00B55920" w:rsidTr="005D1049">
        <w:tc>
          <w:tcPr>
            <w:tcW w:w="5000" w:type="pct"/>
            <w:gridSpan w:val="4"/>
          </w:tcPr>
          <w:p w:rsidR="00693F40" w:rsidRPr="005D1049" w:rsidRDefault="00693F40" w:rsidP="00525292">
            <w:pPr>
              <w:snapToGrid w:val="0"/>
              <w:spacing w:beforeLines="50" w:before="180" w:afterLines="50" w:after="180" w:line="0" w:lineRule="atLeast"/>
              <w:contextualSpacing/>
              <w:rPr>
                <w:rFonts w:eastAsia="標楷體" w:cstheme="minorHAnsi"/>
                <w:b/>
                <w:sz w:val="28"/>
                <w:szCs w:val="24"/>
              </w:rPr>
            </w:pPr>
            <w:r w:rsidRPr="005D1049">
              <w:rPr>
                <w:rFonts w:eastAsia="標楷體" w:cstheme="minorHAnsi"/>
                <w:b/>
                <w:sz w:val="28"/>
                <w:szCs w:val="24"/>
              </w:rPr>
              <w:t>SILVER</w:t>
            </w:r>
          </w:p>
        </w:tc>
      </w:tr>
      <w:tr w:rsidR="00693F40" w:rsidRPr="00B55920" w:rsidTr="00EB6C26">
        <w:trPr>
          <w:trHeight w:val="53"/>
        </w:trPr>
        <w:tc>
          <w:tcPr>
            <w:tcW w:w="262" w:type="pct"/>
          </w:tcPr>
          <w:p w:rsidR="00693F40" w:rsidRPr="00B55920" w:rsidRDefault="00693F40" w:rsidP="00525292">
            <w:pPr>
              <w:snapToGrid w:val="0"/>
              <w:spacing w:before="50" w:after="50" w:line="0" w:lineRule="atLeast"/>
              <w:contextualSpacing/>
              <w:jc w:val="center"/>
              <w:rPr>
                <w:rFonts w:eastAsia="標楷體" w:cstheme="minorHAnsi"/>
                <w:szCs w:val="24"/>
              </w:rPr>
            </w:pPr>
          </w:p>
        </w:tc>
        <w:tc>
          <w:tcPr>
            <w:tcW w:w="1089" w:type="pct"/>
          </w:tcPr>
          <w:p w:rsidR="00693F40" w:rsidRPr="005D1049" w:rsidRDefault="00693F40" w:rsidP="00525292">
            <w:pPr>
              <w:snapToGrid w:val="0"/>
              <w:spacing w:before="50" w:after="50" w:line="0" w:lineRule="atLeast"/>
              <w:contextualSpacing/>
              <w:rPr>
                <w:rFonts w:eastAsia="標楷體" w:cstheme="minorHAnsi"/>
                <w:b/>
                <w:szCs w:val="24"/>
              </w:rPr>
            </w:pPr>
            <w:r w:rsidRPr="005D1049">
              <w:rPr>
                <w:rFonts w:eastAsia="標楷體" w:cstheme="minorHAnsi"/>
                <w:b/>
                <w:szCs w:val="24"/>
              </w:rPr>
              <w:t>Summary of PDE for Silver</w:t>
            </w:r>
          </w:p>
        </w:tc>
        <w:tc>
          <w:tcPr>
            <w:tcW w:w="2679" w:type="pct"/>
          </w:tcPr>
          <w:p w:rsidR="00693F40" w:rsidRPr="00B55920" w:rsidRDefault="00693F40" w:rsidP="00525292">
            <w:pPr>
              <w:snapToGrid w:val="0"/>
              <w:spacing w:before="50" w:after="50" w:line="0" w:lineRule="atLeast"/>
              <w:jc w:val="both"/>
              <w:rPr>
                <w:rFonts w:eastAsia="標楷體" w:cstheme="minorHAnsi"/>
                <w:szCs w:val="24"/>
              </w:rPr>
            </w:pPr>
            <w:r>
              <w:rPr>
                <w:noProof/>
              </w:rPr>
              <w:drawing>
                <wp:inline distT="0" distB="0" distL="0" distR="0" wp14:anchorId="5A0E0AC4" wp14:editId="67BFE8C0">
                  <wp:extent cx="5175250" cy="493395"/>
                  <wp:effectExtent l="0" t="0" r="635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75250" cy="493395"/>
                          </a:xfrm>
                          <a:prstGeom prst="rect">
                            <a:avLst/>
                          </a:prstGeom>
                        </pic:spPr>
                      </pic:pic>
                    </a:graphicData>
                  </a:graphic>
                </wp:inline>
              </w:drawing>
            </w:r>
          </w:p>
        </w:tc>
        <w:tc>
          <w:tcPr>
            <w:tcW w:w="970" w:type="pct"/>
          </w:tcPr>
          <w:p w:rsidR="00693F40" w:rsidRPr="00B55920" w:rsidRDefault="00693F40" w:rsidP="00525292">
            <w:pPr>
              <w:snapToGrid w:val="0"/>
              <w:spacing w:before="50" w:after="50" w:line="0" w:lineRule="atLeast"/>
              <w:contextualSpacing/>
              <w:rPr>
                <w:rFonts w:eastAsia="標楷體" w:cstheme="minorHAnsi"/>
                <w:szCs w:val="24"/>
              </w:rPr>
            </w:pPr>
          </w:p>
        </w:tc>
      </w:tr>
      <w:tr w:rsidR="00693F40" w:rsidRPr="00B55920" w:rsidTr="00EB6C26">
        <w:trPr>
          <w:trHeight w:val="53"/>
        </w:trPr>
        <w:tc>
          <w:tcPr>
            <w:tcW w:w="262" w:type="pct"/>
          </w:tcPr>
          <w:p w:rsidR="00693F40" w:rsidRPr="00B55920" w:rsidRDefault="00693F40" w:rsidP="00525292">
            <w:pPr>
              <w:snapToGrid w:val="0"/>
              <w:spacing w:before="50" w:after="50" w:line="0" w:lineRule="atLeast"/>
              <w:contextualSpacing/>
              <w:jc w:val="center"/>
              <w:rPr>
                <w:rFonts w:eastAsia="標楷體" w:cstheme="minorHAnsi"/>
                <w:szCs w:val="24"/>
              </w:rPr>
            </w:pPr>
          </w:p>
        </w:tc>
        <w:tc>
          <w:tcPr>
            <w:tcW w:w="1089" w:type="pct"/>
          </w:tcPr>
          <w:p w:rsidR="00693F40" w:rsidRPr="005D1049" w:rsidRDefault="00693F40" w:rsidP="00525292">
            <w:pPr>
              <w:snapToGrid w:val="0"/>
              <w:spacing w:before="50" w:after="50" w:line="0" w:lineRule="atLeast"/>
              <w:contextualSpacing/>
              <w:rPr>
                <w:rFonts w:eastAsia="標楷體" w:cstheme="minorHAnsi"/>
                <w:b/>
                <w:szCs w:val="24"/>
              </w:rPr>
            </w:pPr>
            <w:r w:rsidRPr="005D1049">
              <w:rPr>
                <w:rFonts w:eastAsia="標楷體" w:cstheme="minorHAnsi"/>
                <w:b/>
                <w:szCs w:val="24"/>
              </w:rPr>
              <w:t>Introduction</w:t>
            </w:r>
          </w:p>
        </w:tc>
        <w:tc>
          <w:tcPr>
            <w:tcW w:w="2679" w:type="pct"/>
          </w:tcPr>
          <w:p w:rsidR="00693F40" w:rsidRPr="00B55920" w:rsidRDefault="00693F40" w:rsidP="00640066">
            <w:pPr>
              <w:snapToGrid w:val="0"/>
              <w:spacing w:afterLines="50" w:after="180" w:line="0" w:lineRule="atLeast"/>
              <w:jc w:val="both"/>
              <w:rPr>
                <w:rFonts w:eastAsia="標楷體" w:cstheme="minorHAnsi"/>
                <w:szCs w:val="24"/>
              </w:rPr>
            </w:pPr>
            <w:r w:rsidRPr="005D1049">
              <w:rPr>
                <w:rFonts w:eastAsia="標楷體" w:cstheme="minorHAnsi"/>
                <w:szCs w:val="24"/>
              </w:rPr>
              <w:t>Silver (Ag) is present in silver compounds primarily in the +1 oxidation state and less</w:t>
            </w:r>
            <w:r>
              <w:rPr>
                <w:rFonts w:eastAsia="標楷體" w:cstheme="minorHAnsi"/>
                <w:szCs w:val="24"/>
              </w:rPr>
              <w:t xml:space="preserve"> frequently in the +2</w:t>
            </w:r>
            <w:r>
              <w:rPr>
                <w:rFonts w:eastAsia="標楷體" w:cstheme="minorHAnsi" w:hint="eastAsia"/>
                <w:szCs w:val="24"/>
              </w:rPr>
              <w:t xml:space="preserve"> </w:t>
            </w:r>
            <w:r w:rsidRPr="005D1049">
              <w:rPr>
                <w:rFonts w:eastAsia="標楷體" w:cstheme="minorHAnsi"/>
                <w:szCs w:val="24"/>
              </w:rPr>
              <w:t>oxidation state. Silver occurs naturally mainly in the form of very insolubl</w:t>
            </w:r>
            <w:r>
              <w:rPr>
                <w:rFonts w:eastAsia="標楷體" w:cstheme="minorHAnsi"/>
                <w:szCs w:val="24"/>
              </w:rPr>
              <w:t>e and immobile oxides, sulfides</w:t>
            </w:r>
            <w:r>
              <w:rPr>
                <w:rFonts w:eastAsia="標楷體" w:cstheme="minorHAnsi" w:hint="eastAsia"/>
                <w:szCs w:val="24"/>
              </w:rPr>
              <w:t xml:space="preserve"> </w:t>
            </w:r>
            <w:r w:rsidRPr="005D1049">
              <w:rPr>
                <w:rFonts w:eastAsia="標楷體" w:cstheme="minorHAnsi"/>
                <w:szCs w:val="24"/>
              </w:rPr>
              <w:t>and some salts. The most important silver compounds in drinking-water are silv</w:t>
            </w:r>
            <w:r>
              <w:rPr>
                <w:rFonts w:eastAsia="標楷體" w:cstheme="minorHAnsi"/>
                <w:szCs w:val="24"/>
              </w:rPr>
              <w:t>er nitrate and silver chloride.</w:t>
            </w:r>
            <w:r w:rsidRPr="005D1049">
              <w:rPr>
                <w:rFonts w:eastAsia="標楷體" w:cstheme="minorHAnsi"/>
                <w:szCs w:val="24"/>
              </w:rPr>
              <w:t xml:space="preserve"> Most foods contain traces of silver in the 10–100 μg/kg range. Silver is nut</w:t>
            </w:r>
            <w:r>
              <w:rPr>
                <w:rFonts w:eastAsia="標楷體" w:cstheme="minorHAnsi"/>
                <w:szCs w:val="24"/>
              </w:rPr>
              <w:t>ritionally not essential and no</w:t>
            </w:r>
            <w:r w:rsidRPr="005D1049">
              <w:rPr>
                <w:rFonts w:eastAsia="標楷體" w:cstheme="minorHAnsi"/>
                <w:szCs w:val="24"/>
              </w:rPr>
              <w:t xml:space="preserve"> metabolic function is known. Silver is being used as a catalyst in the ox</w:t>
            </w:r>
            <w:r>
              <w:rPr>
                <w:rFonts w:eastAsia="標楷體" w:cstheme="minorHAnsi"/>
                <w:szCs w:val="24"/>
              </w:rPr>
              <w:t>idation of ethylene to ethylene</w:t>
            </w:r>
            <w:r w:rsidRPr="005D1049">
              <w:rPr>
                <w:rFonts w:eastAsia="標楷體" w:cstheme="minorHAnsi"/>
                <w:szCs w:val="24"/>
              </w:rPr>
              <w:t xml:space="preserve"> oxide. Silver-Cadmium alloy is used in selective hydrogenation of unsatur</w:t>
            </w:r>
            <w:r>
              <w:rPr>
                <w:rFonts w:eastAsia="標楷體" w:cstheme="minorHAnsi"/>
                <w:szCs w:val="24"/>
              </w:rPr>
              <w:t>ated carbonyl compounds. Silver</w:t>
            </w:r>
            <w:r w:rsidRPr="005D1049">
              <w:rPr>
                <w:rFonts w:eastAsia="標楷體" w:cstheme="minorHAnsi"/>
                <w:szCs w:val="24"/>
              </w:rPr>
              <w:t xml:space="preserve"> oxide is used as a mild oxidizing agent in organic synthesis.</w:t>
            </w:r>
          </w:p>
        </w:tc>
        <w:tc>
          <w:tcPr>
            <w:tcW w:w="970" w:type="pct"/>
          </w:tcPr>
          <w:p w:rsidR="00693F40" w:rsidRPr="00B55920" w:rsidRDefault="00693F40" w:rsidP="00525292">
            <w:pPr>
              <w:snapToGrid w:val="0"/>
              <w:spacing w:before="50" w:after="50" w:line="0" w:lineRule="atLeast"/>
              <w:contextualSpacing/>
              <w:rPr>
                <w:rFonts w:eastAsia="標楷體" w:cstheme="minorHAnsi"/>
                <w:szCs w:val="24"/>
              </w:rPr>
            </w:pPr>
          </w:p>
        </w:tc>
      </w:tr>
      <w:tr w:rsidR="00693F40" w:rsidRPr="00B55920" w:rsidTr="00EB6C26">
        <w:trPr>
          <w:trHeight w:val="53"/>
        </w:trPr>
        <w:tc>
          <w:tcPr>
            <w:tcW w:w="262" w:type="pct"/>
          </w:tcPr>
          <w:p w:rsidR="00693F40" w:rsidRPr="00B55920" w:rsidRDefault="00693F40" w:rsidP="00525292">
            <w:pPr>
              <w:snapToGrid w:val="0"/>
              <w:spacing w:beforeLines="50" w:before="180" w:afterLines="50" w:after="180" w:line="0" w:lineRule="atLeast"/>
              <w:contextualSpacing/>
              <w:jc w:val="center"/>
              <w:rPr>
                <w:rFonts w:eastAsia="標楷體" w:cstheme="minorHAnsi"/>
                <w:szCs w:val="24"/>
              </w:rPr>
            </w:pPr>
          </w:p>
        </w:tc>
        <w:tc>
          <w:tcPr>
            <w:tcW w:w="1089" w:type="pct"/>
          </w:tcPr>
          <w:p w:rsidR="00693F40" w:rsidRPr="009D13C1" w:rsidRDefault="00693F40" w:rsidP="00525292">
            <w:pPr>
              <w:snapToGrid w:val="0"/>
              <w:spacing w:beforeLines="50" w:before="180" w:afterLines="50" w:after="180" w:line="0" w:lineRule="atLeast"/>
              <w:contextualSpacing/>
              <w:rPr>
                <w:rFonts w:eastAsia="標楷體" w:cstheme="minorHAnsi"/>
                <w:b/>
                <w:szCs w:val="24"/>
              </w:rPr>
            </w:pPr>
            <w:r w:rsidRPr="009D13C1">
              <w:rPr>
                <w:rFonts w:eastAsia="標楷體" w:cstheme="minorHAnsi"/>
                <w:b/>
                <w:szCs w:val="24"/>
              </w:rPr>
              <w:t>Safety Limiting Toxicity</w:t>
            </w:r>
          </w:p>
        </w:tc>
        <w:tc>
          <w:tcPr>
            <w:tcW w:w="2679" w:type="pct"/>
          </w:tcPr>
          <w:p w:rsidR="00693F40" w:rsidRDefault="00693F40" w:rsidP="005C140E">
            <w:pPr>
              <w:snapToGrid w:val="0"/>
              <w:spacing w:afterLines="50" w:after="180" w:line="0" w:lineRule="atLeast"/>
              <w:jc w:val="both"/>
              <w:rPr>
                <w:rFonts w:eastAsia="標楷體" w:cstheme="minorHAnsi"/>
                <w:szCs w:val="24"/>
              </w:rPr>
            </w:pPr>
            <w:r w:rsidRPr="009D13C1">
              <w:rPr>
                <w:rFonts w:eastAsia="標楷體" w:cstheme="minorHAnsi"/>
                <w:szCs w:val="24"/>
              </w:rPr>
              <w:t>Silver is not mutagenic. Animal toxicity studies and human occupat</w:t>
            </w:r>
            <w:r>
              <w:rPr>
                <w:rFonts w:eastAsia="標楷體" w:cstheme="minorHAnsi"/>
                <w:szCs w:val="24"/>
              </w:rPr>
              <w:t>ional studies have not provided</w:t>
            </w:r>
            <w:r w:rsidRPr="009D13C1">
              <w:rPr>
                <w:rFonts w:eastAsia="標楷體" w:cstheme="minorHAnsi"/>
                <w:szCs w:val="24"/>
              </w:rPr>
              <w:t xml:space="preserve"> sufficient evidence of carcinogenicity. Based on these data silver </w:t>
            </w:r>
            <w:r w:rsidRPr="009D13C1">
              <w:rPr>
                <w:rFonts w:eastAsia="標楷體" w:cstheme="minorHAnsi"/>
                <w:szCs w:val="24"/>
              </w:rPr>
              <w:lastRenderedPageBreak/>
              <w:t>is not</w:t>
            </w:r>
            <w:r>
              <w:rPr>
                <w:rFonts w:eastAsia="標楷體" w:cstheme="minorHAnsi"/>
                <w:szCs w:val="24"/>
              </w:rPr>
              <w:t xml:space="preserve"> expected to be carcinogenic in humans (ATSDR, 1990).</w:t>
            </w:r>
          </w:p>
          <w:p w:rsidR="00693F40" w:rsidRPr="00B55920" w:rsidRDefault="00693F40" w:rsidP="005C140E">
            <w:pPr>
              <w:snapToGrid w:val="0"/>
              <w:spacing w:afterLines="50" w:after="180" w:line="0" w:lineRule="atLeast"/>
              <w:jc w:val="both"/>
              <w:rPr>
                <w:rFonts w:eastAsia="標楷體" w:cstheme="minorHAnsi"/>
                <w:szCs w:val="24"/>
              </w:rPr>
            </w:pPr>
            <w:r w:rsidRPr="009D13C1">
              <w:rPr>
                <w:rFonts w:eastAsia="標楷體" w:cstheme="minorHAnsi"/>
                <w:szCs w:val="24"/>
              </w:rPr>
              <w:t xml:space="preserve">Argyria appears to be the most sensitive clinical effect in response to </w:t>
            </w:r>
            <w:r>
              <w:rPr>
                <w:rFonts w:eastAsia="標楷體" w:cstheme="minorHAnsi"/>
                <w:szCs w:val="24"/>
              </w:rPr>
              <w:t>human Ag intake. Silver acetate</w:t>
            </w:r>
            <w:r>
              <w:rPr>
                <w:rFonts w:eastAsia="標楷體" w:cstheme="minorHAnsi" w:hint="eastAsia"/>
                <w:szCs w:val="24"/>
              </w:rPr>
              <w:t xml:space="preserve"> </w:t>
            </w:r>
            <w:r w:rsidRPr="009D13C1">
              <w:rPr>
                <w:rFonts w:eastAsia="標楷體" w:cstheme="minorHAnsi"/>
                <w:szCs w:val="24"/>
              </w:rPr>
              <w:t>lozenges are used in smoking cessation (Hymowitz and Eckholdt, 1996). A</w:t>
            </w:r>
            <w:r>
              <w:rPr>
                <w:rFonts w:eastAsia="標楷體" w:cstheme="minorHAnsi"/>
                <w:szCs w:val="24"/>
              </w:rPr>
              <w:t>rgyria, a permanent bluish-gray</w:t>
            </w:r>
            <w:r>
              <w:rPr>
                <w:rFonts w:eastAsia="標楷體" w:cstheme="minorHAnsi" w:hint="eastAsia"/>
                <w:szCs w:val="24"/>
              </w:rPr>
              <w:t xml:space="preserve"> </w:t>
            </w:r>
            <w:r w:rsidRPr="009D13C1">
              <w:rPr>
                <w:rFonts w:eastAsia="標楷體" w:cstheme="minorHAnsi"/>
                <w:szCs w:val="24"/>
              </w:rPr>
              <w:t xml:space="preserve">discoloration of the skin, results from the deposition of Ag in the dermis </w:t>
            </w:r>
            <w:r>
              <w:rPr>
                <w:rFonts w:eastAsia="標楷體" w:cstheme="minorHAnsi"/>
                <w:szCs w:val="24"/>
              </w:rPr>
              <w:t>combined with a</w:t>
            </w:r>
            <w:r w:rsidRPr="009D13C1">
              <w:rPr>
                <w:rFonts w:eastAsia="標楷體" w:cstheme="minorHAnsi"/>
                <w:strike/>
                <w:color w:val="FF0000"/>
                <w:szCs w:val="24"/>
              </w:rPr>
              <w:t>n</w:t>
            </w:r>
            <w:r>
              <w:rPr>
                <w:rFonts w:eastAsia="標楷體" w:cstheme="minorHAnsi"/>
                <w:szCs w:val="24"/>
              </w:rPr>
              <w:t xml:space="preserve"> silver-induced</w:t>
            </w:r>
            <w:r w:rsidRPr="009D13C1">
              <w:rPr>
                <w:rFonts w:eastAsia="標楷體" w:cstheme="minorHAnsi"/>
                <w:szCs w:val="24"/>
              </w:rPr>
              <w:t xml:space="preserve"> production of melanin. Inhalation of high levels of silver can result in lung an</w:t>
            </w:r>
            <w:r>
              <w:rPr>
                <w:rFonts w:eastAsia="標楷體" w:cstheme="minorHAnsi"/>
                <w:szCs w:val="24"/>
              </w:rPr>
              <w:t>d throat irritation and stomach</w:t>
            </w:r>
            <w:r w:rsidRPr="009D13C1">
              <w:rPr>
                <w:rFonts w:eastAsia="標楷體" w:cstheme="minorHAnsi"/>
                <w:szCs w:val="24"/>
              </w:rPr>
              <w:t xml:space="preserve"> pains (ATSDR, 1990).</w:t>
            </w:r>
          </w:p>
        </w:tc>
        <w:tc>
          <w:tcPr>
            <w:tcW w:w="970" w:type="pct"/>
          </w:tcPr>
          <w:p w:rsidR="00693F40" w:rsidRPr="00B55920" w:rsidRDefault="00693F40" w:rsidP="00525292">
            <w:pPr>
              <w:snapToGrid w:val="0"/>
              <w:spacing w:beforeLines="50" w:before="180" w:afterLines="50" w:after="180" w:line="0" w:lineRule="atLeast"/>
              <w:contextualSpacing/>
              <w:rPr>
                <w:rFonts w:eastAsia="標楷體" w:cstheme="minorHAnsi"/>
                <w:szCs w:val="24"/>
              </w:rPr>
            </w:pPr>
          </w:p>
        </w:tc>
      </w:tr>
      <w:tr w:rsidR="00693F40" w:rsidRPr="00B55920" w:rsidTr="00EB6C26">
        <w:trPr>
          <w:trHeight w:val="1574"/>
        </w:trPr>
        <w:tc>
          <w:tcPr>
            <w:tcW w:w="262" w:type="pct"/>
          </w:tcPr>
          <w:p w:rsidR="00693F40" w:rsidRPr="00B55920" w:rsidRDefault="00693F40" w:rsidP="00525292">
            <w:pPr>
              <w:snapToGrid w:val="0"/>
              <w:spacing w:beforeLines="50" w:before="180" w:afterLines="50" w:after="180" w:line="0" w:lineRule="atLeast"/>
              <w:contextualSpacing/>
              <w:jc w:val="center"/>
              <w:rPr>
                <w:rFonts w:eastAsia="標楷體" w:cstheme="minorHAnsi"/>
                <w:szCs w:val="24"/>
              </w:rPr>
            </w:pPr>
          </w:p>
        </w:tc>
        <w:tc>
          <w:tcPr>
            <w:tcW w:w="1089" w:type="pct"/>
          </w:tcPr>
          <w:p w:rsidR="00693F40" w:rsidRPr="009D13C1" w:rsidRDefault="00693F40" w:rsidP="00525292">
            <w:pPr>
              <w:snapToGrid w:val="0"/>
              <w:spacing w:beforeLines="50" w:before="180" w:afterLines="50" w:after="180" w:line="0" w:lineRule="atLeast"/>
              <w:contextualSpacing/>
              <w:rPr>
                <w:rFonts w:eastAsia="標楷體" w:cstheme="minorHAnsi"/>
                <w:b/>
                <w:szCs w:val="24"/>
              </w:rPr>
            </w:pPr>
            <w:r w:rsidRPr="009D13C1">
              <w:rPr>
                <w:rFonts w:eastAsia="標楷體" w:cstheme="minorHAnsi"/>
                <w:b/>
                <w:szCs w:val="24"/>
              </w:rPr>
              <w:t>PDE – Oral Exposure</w:t>
            </w:r>
          </w:p>
        </w:tc>
        <w:tc>
          <w:tcPr>
            <w:tcW w:w="2679" w:type="pct"/>
          </w:tcPr>
          <w:p w:rsidR="00693F40" w:rsidRDefault="00693F40" w:rsidP="005C140E">
            <w:pPr>
              <w:snapToGrid w:val="0"/>
              <w:spacing w:afterLines="50" w:after="180" w:line="0" w:lineRule="atLeast"/>
              <w:jc w:val="both"/>
              <w:rPr>
                <w:rFonts w:eastAsia="標楷體" w:cstheme="minorHAnsi"/>
                <w:szCs w:val="24"/>
              </w:rPr>
            </w:pPr>
            <w:r w:rsidRPr="009D13C1">
              <w:rPr>
                <w:rFonts w:eastAsia="標楷體" w:cstheme="minorHAnsi"/>
                <w:szCs w:val="24"/>
              </w:rPr>
              <w:t>Silver nitrate was added at 0.015% to the drinking water of female mice (</w:t>
            </w:r>
            <w:r>
              <w:rPr>
                <w:rFonts w:eastAsia="標楷體" w:cstheme="minorHAnsi"/>
                <w:szCs w:val="24"/>
              </w:rPr>
              <w:t>0.9 g/mouse; 32.14 mg/kg silver</w:t>
            </w:r>
            <w:r w:rsidRPr="009D13C1">
              <w:rPr>
                <w:rFonts w:eastAsia="標楷體" w:cstheme="minorHAnsi"/>
                <w:szCs w:val="24"/>
              </w:rPr>
              <w:t xml:space="preserve"> nitrate; 64% silver) for 125 days to examine neurobehavioral activity of</w:t>
            </w:r>
            <w:r>
              <w:rPr>
                <w:rFonts w:eastAsia="標楷體" w:cstheme="minorHAnsi"/>
                <w:szCs w:val="24"/>
              </w:rPr>
              <w:t xml:space="preserve"> the animals based on potential</w:t>
            </w:r>
            <w:r w:rsidRPr="009D13C1">
              <w:rPr>
                <w:rFonts w:eastAsia="標楷體" w:cstheme="minorHAnsi"/>
                <w:szCs w:val="24"/>
              </w:rPr>
              <w:t xml:space="preserve"> neurotoxicity of silver (Rungby and Danscher, 1984). Treated animals were h</w:t>
            </w:r>
            <w:r>
              <w:rPr>
                <w:rFonts w:eastAsia="標楷體" w:cstheme="minorHAnsi"/>
                <w:szCs w:val="24"/>
              </w:rPr>
              <w:t>ypoactive relative to controls;</w:t>
            </w:r>
            <w:r w:rsidRPr="009D13C1">
              <w:rPr>
                <w:rFonts w:eastAsia="標楷體" w:cstheme="minorHAnsi"/>
                <w:szCs w:val="24"/>
              </w:rPr>
              <w:t xml:space="preserve"> other clinical signs were not noted. In a separate study, silver was shown to be presen</w:t>
            </w:r>
            <w:r>
              <w:rPr>
                <w:rFonts w:eastAsia="標楷體" w:cstheme="minorHAnsi"/>
                <w:szCs w:val="24"/>
              </w:rPr>
              <w:t>t in the brain after</w:t>
            </w:r>
            <w:r w:rsidRPr="009D13C1">
              <w:rPr>
                <w:rFonts w:eastAsia="標楷體" w:cstheme="minorHAnsi"/>
                <w:szCs w:val="24"/>
              </w:rPr>
              <w:t xml:space="preserve"> mice were injected with 1 mg/kg intra peritoneal silver lactate (Rungb</w:t>
            </w:r>
            <w:r>
              <w:rPr>
                <w:rFonts w:eastAsia="標楷體" w:cstheme="minorHAnsi"/>
                <w:szCs w:val="24"/>
              </w:rPr>
              <w:t>y and Danscher, 1983). The oral</w:t>
            </w:r>
            <w:r w:rsidRPr="009D13C1">
              <w:rPr>
                <w:rFonts w:eastAsia="標楷體" w:cstheme="minorHAnsi"/>
                <w:szCs w:val="24"/>
              </w:rPr>
              <w:t xml:space="preserve"> PDE is consistent with the reference dose of 5 μg/kg/day (US EPA,</w:t>
            </w:r>
            <w:r>
              <w:rPr>
                <w:rFonts w:eastAsia="標楷體" w:cstheme="minorHAnsi"/>
                <w:szCs w:val="24"/>
              </w:rPr>
              <w:t xml:space="preserve"> 2003). Taking into account the</w:t>
            </w:r>
            <w:r w:rsidRPr="009D13C1">
              <w:rPr>
                <w:rFonts w:eastAsia="標楷體" w:cstheme="minorHAnsi"/>
                <w:szCs w:val="24"/>
              </w:rPr>
              <w:t xml:space="preserve"> modifying factors (F1-F5 as discussed in Appendix 1), the oral PDE is calculated as below.</w:t>
            </w:r>
          </w:p>
          <w:p w:rsidR="00693F40" w:rsidRDefault="00693F40" w:rsidP="005C140E">
            <w:pPr>
              <w:snapToGrid w:val="0"/>
              <w:spacing w:afterLines="50" w:after="180" w:line="0" w:lineRule="atLeast"/>
              <w:jc w:val="both"/>
              <w:rPr>
                <w:rFonts w:eastAsia="標楷體" w:cstheme="minorHAnsi"/>
                <w:szCs w:val="24"/>
              </w:rPr>
            </w:pPr>
            <w:r w:rsidRPr="00CE6C7D">
              <w:rPr>
                <w:rFonts w:eastAsia="標楷體" w:cstheme="minorHAnsi"/>
                <w:szCs w:val="24"/>
              </w:rPr>
              <w:t>PDE = 20 mg/kg x 50 kg / 12 x 10 x 5 x 1 x 10 = 167 μg/day</w:t>
            </w:r>
          </w:p>
          <w:p w:rsidR="005E3049" w:rsidRPr="009D13C1" w:rsidRDefault="005E3049" w:rsidP="005C140E">
            <w:pPr>
              <w:snapToGrid w:val="0"/>
              <w:spacing w:afterLines="50" w:after="180" w:line="0" w:lineRule="atLeast"/>
              <w:jc w:val="both"/>
              <w:rPr>
                <w:rFonts w:eastAsia="標楷體" w:cstheme="minorHAnsi"/>
                <w:szCs w:val="24"/>
              </w:rPr>
            </w:pPr>
            <w:r w:rsidRPr="00CE6C7D">
              <w:rPr>
                <w:rFonts w:eastAsia="標楷體" w:cstheme="minorHAnsi"/>
                <w:szCs w:val="24"/>
              </w:rPr>
              <w:t xml:space="preserve">A factor 10 was chosen for F5 because the LOAEL was used to set the PDE as few </w:t>
            </w:r>
            <w:r>
              <w:rPr>
                <w:rFonts w:eastAsia="標楷體" w:cstheme="minorHAnsi"/>
                <w:szCs w:val="24"/>
              </w:rPr>
              <w:t>toxicological endpoints</w:t>
            </w:r>
            <w:r w:rsidRPr="00CE6C7D">
              <w:rPr>
                <w:rFonts w:eastAsia="標楷體" w:cstheme="minorHAnsi"/>
                <w:szCs w:val="24"/>
              </w:rPr>
              <w:t xml:space="preserve"> were examined.</w:t>
            </w:r>
          </w:p>
        </w:tc>
        <w:tc>
          <w:tcPr>
            <w:tcW w:w="970" w:type="pct"/>
          </w:tcPr>
          <w:p w:rsidR="00693F40" w:rsidRPr="00B55920" w:rsidRDefault="00693F40" w:rsidP="00525292">
            <w:pPr>
              <w:snapToGrid w:val="0"/>
              <w:spacing w:beforeLines="50" w:before="180" w:afterLines="50" w:after="180" w:line="0" w:lineRule="atLeast"/>
              <w:contextualSpacing/>
              <w:rPr>
                <w:rFonts w:eastAsia="標楷體" w:cstheme="minorHAnsi"/>
                <w:szCs w:val="24"/>
              </w:rPr>
            </w:pPr>
          </w:p>
        </w:tc>
      </w:tr>
      <w:tr w:rsidR="00693F40" w:rsidRPr="00B55920" w:rsidTr="00EB6C26">
        <w:trPr>
          <w:trHeight w:val="990"/>
        </w:trPr>
        <w:tc>
          <w:tcPr>
            <w:tcW w:w="262" w:type="pct"/>
          </w:tcPr>
          <w:p w:rsidR="00693F40" w:rsidRPr="00B55920" w:rsidRDefault="00693F40" w:rsidP="00525292">
            <w:pPr>
              <w:snapToGrid w:val="0"/>
              <w:spacing w:beforeLines="50" w:before="180" w:afterLines="50" w:after="180" w:line="0" w:lineRule="atLeast"/>
              <w:contextualSpacing/>
              <w:jc w:val="center"/>
              <w:rPr>
                <w:rFonts w:eastAsia="標楷體" w:cstheme="minorHAnsi"/>
                <w:szCs w:val="24"/>
              </w:rPr>
            </w:pPr>
          </w:p>
        </w:tc>
        <w:tc>
          <w:tcPr>
            <w:tcW w:w="1089" w:type="pct"/>
          </w:tcPr>
          <w:p w:rsidR="00693F40" w:rsidRPr="00FE1AD5" w:rsidRDefault="00693F40" w:rsidP="00525292">
            <w:pPr>
              <w:snapToGrid w:val="0"/>
              <w:spacing w:beforeLines="50" w:before="180" w:afterLines="50" w:after="180" w:line="0" w:lineRule="atLeast"/>
              <w:contextualSpacing/>
              <w:rPr>
                <w:rFonts w:eastAsia="標楷體" w:cstheme="minorHAnsi"/>
                <w:b/>
                <w:szCs w:val="24"/>
              </w:rPr>
            </w:pPr>
            <w:r w:rsidRPr="00FE1AD5">
              <w:rPr>
                <w:rFonts w:eastAsia="標楷體" w:cstheme="minorHAnsi"/>
                <w:b/>
                <w:szCs w:val="24"/>
              </w:rPr>
              <w:t>PDE – Parenteral Exposure</w:t>
            </w:r>
          </w:p>
        </w:tc>
        <w:tc>
          <w:tcPr>
            <w:tcW w:w="2679" w:type="pct"/>
          </w:tcPr>
          <w:p w:rsidR="00693F40" w:rsidRPr="00693F40" w:rsidRDefault="00693F40" w:rsidP="005C140E">
            <w:pPr>
              <w:snapToGrid w:val="0"/>
              <w:spacing w:afterLines="50" w:after="180" w:line="0" w:lineRule="atLeast"/>
              <w:jc w:val="both"/>
              <w:rPr>
                <w:rFonts w:eastAsia="標楷體" w:cstheme="minorHAnsi"/>
                <w:strike/>
                <w:color w:val="FF0000"/>
                <w:szCs w:val="24"/>
              </w:rPr>
            </w:pPr>
            <w:r w:rsidRPr="00693F40">
              <w:rPr>
                <w:rFonts w:eastAsia="標楷體" w:cstheme="minorHAnsi"/>
                <w:strike/>
                <w:color w:val="FF0000"/>
                <w:szCs w:val="24"/>
              </w:rPr>
              <w:t>US EPA (2003) identified a LOAEL of 0.014 mg/kg Ag/day using long-term (2 to 9 years) human intravenous data based on argyria following colloidal and organic silver medication. Taking into account the modifying factors (F1-F5 as discussed in Appendix 1), the parenteral PDE is calculated as below.</w:t>
            </w:r>
          </w:p>
          <w:p w:rsidR="00693F40" w:rsidRPr="00E264C0" w:rsidRDefault="00E264C0" w:rsidP="005C140E">
            <w:pPr>
              <w:snapToGrid w:val="0"/>
              <w:spacing w:afterLines="50" w:after="180" w:line="0" w:lineRule="atLeast"/>
              <w:jc w:val="both"/>
              <w:rPr>
                <w:rFonts w:eastAsia="標楷體" w:cstheme="minorHAnsi"/>
                <w:strike/>
                <w:color w:val="FF0000"/>
                <w:szCs w:val="24"/>
              </w:rPr>
            </w:pPr>
            <w:r w:rsidRPr="00E264C0">
              <w:rPr>
                <w:rFonts w:eastAsia="標楷體" w:cstheme="minorHAnsi"/>
                <w:strike/>
                <w:color w:val="FF0000"/>
                <w:szCs w:val="24"/>
              </w:rPr>
              <w:t>PDE = 0.014 mg/kg/d x 50 kg / 1 x 10 x 1 x 1 x 5 = 14 μg/day</w:t>
            </w:r>
          </w:p>
          <w:p w:rsidR="00E264C0" w:rsidRPr="00E264C0" w:rsidRDefault="00E264C0" w:rsidP="005C140E">
            <w:pPr>
              <w:snapToGrid w:val="0"/>
              <w:spacing w:afterLines="50" w:after="180" w:line="0" w:lineRule="atLeast"/>
              <w:jc w:val="both"/>
              <w:rPr>
                <w:rFonts w:eastAsia="標楷體" w:cstheme="minorHAnsi"/>
                <w:strike/>
                <w:color w:val="FF0000"/>
                <w:szCs w:val="24"/>
              </w:rPr>
            </w:pPr>
            <w:r w:rsidRPr="00E264C0">
              <w:rPr>
                <w:rFonts w:eastAsia="標楷體" w:cstheme="minorHAnsi"/>
                <w:strike/>
                <w:color w:val="FF0000"/>
                <w:szCs w:val="24"/>
              </w:rPr>
              <w:t>A factor of 5 was chosen for F5 as the finding of argyria was considered a LOEL because accumulation of silver in the skin is not considered adverse.</w:t>
            </w:r>
          </w:p>
          <w:p w:rsidR="00E264C0" w:rsidRDefault="00E264C0" w:rsidP="005C140E">
            <w:pPr>
              <w:snapToGrid w:val="0"/>
              <w:spacing w:afterLines="50" w:after="180" w:line="0" w:lineRule="atLeast"/>
              <w:jc w:val="both"/>
              <w:rPr>
                <w:rFonts w:eastAsia="標楷體" w:cstheme="minorHAnsi"/>
                <w:color w:val="FF0000"/>
                <w:szCs w:val="24"/>
              </w:rPr>
            </w:pPr>
            <w:r w:rsidRPr="00E264C0">
              <w:rPr>
                <w:rFonts w:eastAsia="標楷體" w:cstheme="minorHAnsi"/>
                <w:color w:val="FF0000"/>
                <w:szCs w:val="24"/>
              </w:rPr>
              <w:t xml:space="preserve">The safety review for silver identified one study in humans by the intravenous route published by Gaul and Staud in 1935. In this study silver arsphenamine was administered intravenously to 12 patients in 31-100 injections over 2 to 9.75 years. Based on cases presented in the study, the lowest level of silver resulting in argyria </w:t>
            </w:r>
            <w:r w:rsidRPr="00E264C0">
              <w:rPr>
                <w:rFonts w:eastAsia="標楷體" w:cstheme="minorHAnsi"/>
                <w:color w:val="FF0000"/>
                <w:szCs w:val="24"/>
              </w:rPr>
              <w:lastRenderedPageBreak/>
              <w:t>was 1 g metallic silver. Argyria was reported in other patients at higher cumulative doses of silver. Using this study, the US EPA (2003) identified this dose as a LOAEL. This study was considered inadequate to set a parenteral PDE as it involved few patients and the dosing was not adequately described. However, the study was useful in that it identified argyria as a result of cumulative dosing.</w:t>
            </w:r>
          </w:p>
          <w:p w:rsidR="00E264C0" w:rsidRPr="00E264C0" w:rsidRDefault="00E264C0" w:rsidP="005C140E">
            <w:pPr>
              <w:snapToGrid w:val="0"/>
              <w:spacing w:afterLines="50" w:after="180" w:line="0" w:lineRule="atLeast"/>
              <w:jc w:val="both"/>
              <w:rPr>
                <w:rFonts w:eastAsia="標楷體" w:cstheme="minorHAnsi"/>
                <w:color w:val="FF0000"/>
                <w:szCs w:val="24"/>
              </w:rPr>
            </w:pPr>
            <w:r w:rsidRPr="00E264C0">
              <w:rPr>
                <w:rFonts w:eastAsia="標楷體" w:cstheme="minorHAnsi"/>
                <w:color w:val="FF0000"/>
                <w:szCs w:val="24"/>
              </w:rPr>
              <w:t>Silver is known to be absorbed across mucosal surfaces. Absorption of silver acetate occurred after ingestion of a dose of radiolabelled silver with approximately 21% of the dose being retained at 1 week (ATSDR, 1990). In a review of the oral toxicity of silver, Hadrup and Lam (2014) report that absorption of a radionuclide of silver (as silver nitrate) was between 0.4 to 18%, depending upon the species, with humans at 18%. On the basis of an oral bioavailability between 1% and 50% for silver, the parenteral PDE was calculated by dividing the oral PDE by a modifying factor of 10 (as described in Section 3.1). The recommended PDE for silver for parenteral exposure is:</w:t>
            </w:r>
          </w:p>
          <w:p w:rsidR="00E264C0" w:rsidRPr="00B55920" w:rsidRDefault="00E264C0" w:rsidP="005C140E">
            <w:pPr>
              <w:snapToGrid w:val="0"/>
              <w:spacing w:afterLines="50" w:after="180" w:line="0" w:lineRule="atLeast"/>
              <w:jc w:val="both"/>
              <w:rPr>
                <w:rFonts w:eastAsia="標楷體" w:cstheme="minorHAnsi"/>
                <w:szCs w:val="24"/>
              </w:rPr>
            </w:pPr>
            <w:r w:rsidRPr="00E264C0">
              <w:rPr>
                <w:rFonts w:eastAsia="標楷體" w:cstheme="minorHAnsi"/>
                <w:color w:val="FF0000"/>
                <w:szCs w:val="24"/>
              </w:rPr>
              <w:t>PDE = 167 μg/d / 10 = 16.7 μg/day</w:t>
            </w:r>
          </w:p>
        </w:tc>
        <w:tc>
          <w:tcPr>
            <w:tcW w:w="970" w:type="pct"/>
          </w:tcPr>
          <w:p w:rsidR="00693F40" w:rsidRPr="00B55920" w:rsidRDefault="00693F40" w:rsidP="00525292">
            <w:pPr>
              <w:snapToGrid w:val="0"/>
              <w:spacing w:beforeLines="50" w:before="180" w:afterLines="50" w:after="180" w:line="0" w:lineRule="atLeast"/>
              <w:contextualSpacing/>
              <w:rPr>
                <w:rFonts w:eastAsia="標楷體" w:cstheme="minorHAnsi"/>
                <w:szCs w:val="24"/>
              </w:rPr>
            </w:pPr>
          </w:p>
        </w:tc>
      </w:tr>
      <w:tr w:rsidR="00693F40" w:rsidRPr="00B55920" w:rsidTr="00EB6C26">
        <w:tc>
          <w:tcPr>
            <w:tcW w:w="262" w:type="pct"/>
          </w:tcPr>
          <w:p w:rsidR="00693F40" w:rsidRPr="00B55920" w:rsidRDefault="00693F40" w:rsidP="00525292">
            <w:pPr>
              <w:snapToGrid w:val="0"/>
              <w:spacing w:beforeLines="50" w:before="180" w:afterLines="50" w:after="180" w:line="0" w:lineRule="atLeast"/>
              <w:contextualSpacing/>
              <w:jc w:val="center"/>
              <w:rPr>
                <w:rFonts w:eastAsia="標楷體" w:cstheme="minorHAnsi"/>
                <w:szCs w:val="24"/>
              </w:rPr>
            </w:pPr>
          </w:p>
        </w:tc>
        <w:tc>
          <w:tcPr>
            <w:tcW w:w="1089" w:type="pct"/>
          </w:tcPr>
          <w:p w:rsidR="00693F40" w:rsidRPr="006E6584" w:rsidRDefault="006E6584" w:rsidP="00525292">
            <w:pPr>
              <w:snapToGrid w:val="0"/>
              <w:spacing w:beforeLines="50" w:before="180" w:afterLines="50" w:after="180" w:line="0" w:lineRule="atLeast"/>
              <w:contextualSpacing/>
              <w:rPr>
                <w:rFonts w:eastAsia="標楷體" w:cstheme="minorHAnsi"/>
                <w:b/>
                <w:szCs w:val="24"/>
              </w:rPr>
            </w:pPr>
            <w:r w:rsidRPr="006E6584">
              <w:rPr>
                <w:rFonts w:eastAsia="標楷體" w:cstheme="minorHAnsi"/>
                <w:b/>
                <w:szCs w:val="24"/>
              </w:rPr>
              <w:t>PDE – Inhalation Exposure</w:t>
            </w:r>
          </w:p>
        </w:tc>
        <w:tc>
          <w:tcPr>
            <w:tcW w:w="2679" w:type="pct"/>
          </w:tcPr>
          <w:p w:rsidR="00693F40" w:rsidRDefault="006E6584" w:rsidP="005C140E">
            <w:pPr>
              <w:snapToGrid w:val="0"/>
              <w:spacing w:afterLines="50" w:after="180" w:line="0" w:lineRule="atLeast"/>
              <w:jc w:val="both"/>
              <w:rPr>
                <w:rFonts w:eastAsia="標楷體" w:cstheme="minorHAnsi"/>
                <w:szCs w:val="24"/>
              </w:rPr>
            </w:pPr>
            <w:r w:rsidRPr="006E6584">
              <w:rPr>
                <w:rFonts w:eastAsia="標楷體" w:cstheme="minorHAnsi"/>
                <w:szCs w:val="24"/>
              </w:rPr>
              <w:t>Lung and throat irritation and stomach pains were the principal effects in humans after inhalation of high Ag levels. Using the Threshold Limit Value (TLV) of 0.01 mg/m</w:t>
            </w:r>
            <w:r w:rsidRPr="00CC0DC9">
              <w:rPr>
                <w:rFonts w:eastAsia="標楷體" w:cstheme="minorHAnsi"/>
                <w:szCs w:val="24"/>
                <w:vertAlign w:val="superscript"/>
              </w:rPr>
              <w:t>3</w:t>
            </w:r>
            <w:r w:rsidRPr="006E6584">
              <w:rPr>
                <w:rFonts w:eastAsia="標楷體" w:cstheme="minorHAnsi"/>
                <w:szCs w:val="24"/>
              </w:rPr>
              <w:t xml:space="preserve"> for sil</w:t>
            </w:r>
            <w:r>
              <w:rPr>
                <w:rFonts w:eastAsia="標楷體" w:cstheme="minorHAnsi"/>
                <w:szCs w:val="24"/>
              </w:rPr>
              <w:t>ver metal and soluble compounds</w:t>
            </w:r>
            <w:r w:rsidRPr="006E6584">
              <w:rPr>
                <w:rFonts w:eastAsia="標楷體" w:cstheme="minorHAnsi"/>
                <w:szCs w:val="24"/>
              </w:rPr>
              <w:t xml:space="preserve"> (US DoL, 2013), and taking into account the modifying factors (F1-F5 a</w:t>
            </w:r>
            <w:r>
              <w:rPr>
                <w:rFonts w:eastAsia="標楷體" w:cstheme="minorHAnsi"/>
                <w:szCs w:val="24"/>
              </w:rPr>
              <w:t>s discussed in Appendix 1), the</w:t>
            </w:r>
            <w:r w:rsidRPr="006E6584">
              <w:rPr>
                <w:rFonts w:eastAsia="標楷體" w:cstheme="minorHAnsi"/>
                <w:szCs w:val="24"/>
              </w:rPr>
              <w:t xml:space="preserve"> inhalation PDE is calculated as:</w:t>
            </w:r>
          </w:p>
          <w:p w:rsidR="006E6584" w:rsidRPr="00B55920" w:rsidRDefault="006E6584" w:rsidP="005C140E">
            <w:pPr>
              <w:snapToGrid w:val="0"/>
              <w:spacing w:afterLines="50" w:after="180" w:line="0" w:lineRule="atLeast"/>
              <w:jc w:val="both"/>
              <w:rPr>
                <w:rFonts w:eastAsia="標楷體" w:cstheme="minorHAnsi"/>
                <w:szCs w:val="24"/>
              </w:rPr>
            </w:pPr>
            <w:r>
              <w:rPr>
                <w:noProof/>
              </w:rPr>
              <w:drawing>
                <wp:inline distT="0" distB="0" distL="0" distR="0" wp14:anchorId="37542296" wp14:editId="1B9D91B7">
                  <wp:extent cx="5175250" cy="1286510"/>
                  <wp:effectExtent l="0" t="0" r="6350" b="889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75250" cy="1286510"/>
                          </a:xfrm>
                          <a:prstGeom prst="rect">
                            <a:avLst/>
                          </a:prstGeom>
                        </pic:spPr>
                      </pic:pic>
                    </a:graphicData>
                  </a:graphic>
                </wp:inline>
              </w:drawing>
            </w:r>
          </w:p>
        </w:tc>
        <w:tc>
          <w:tcPr>
            <w:tcW w:w="970" w:type="pct"/>
          </w:tcPr>
          <w:p w:rsidR="00693F40" w:rsidRPr="00B55920" w:rsidRDefault="00693F40" w:rsidP="00525292">
            <w:pPr>
              <w:snapToGrid w:val="0"/>
              <w:spacing w:beforeLines="50" w:before="180" w:afterLines="50" w:after="180" w:line="0" w:lineRule="atLeast"/>
              <w:contextualSpacing/>
              <w:rPr>
                <w:rFonts w:eastAsia="標楷體" w:cstheme="minorHAnsi"/>
                <w:szCs w:val="24"/>
              </w:rPr>
            </w:pPr>
          </w:p>
        </w:tc>
      </w:tr>
      <w:tr w:rsidR="00693F40" w:rsidRPr="00B55920" w:rsidTr="00EB6C26">
        <w:tc>
          <w:tcPr>
            <w:tcW w:w="262" w:type="pct"/>
          </w:tcPr>
          <w:p w:rsidR="00693F40" w:rsidRPr="00B55920" w:rsidRDefault="00693F40" w:rsidP="00525292">
            <w:pPr>
              <w:snapToGrid w:val="0"/>
              <w:spacing w:beforeLines="50" w:before="180" w:afterLines="50" w:after="180" w:line="0" w:lineRule="atLeast"/>
              <w:contextualSpacing/>
              <w:jc w:val="center"/>
              <w:rPr>
                <w:rFonts w:eastAsia="標楷體" w:cstheme="minorHAnsi"/>
                <w:szCs w:val="24"/>
              </w:rPr>
            </w:pPr>
          </w:p>
        </w:tc>
        <w:tc>
          <w:tcPr>
            <w:tcW w:w="1089" w:type="pct"/>
          </w:tcPr>
          <w:p w:rsidR="00693F40" w:rsidRPr="006E6584" w:rsidRDefault="006E6584" w:rsidP="00525292">
            <w:pPr>
              <w:snapToGrid w:val="0"/>
              <w:spacing w:beforeLines="50" w:before="180" w:afterLines="50" w:after="180" w:line="0" w:lineRule="atLeast"/>
              <w:contextualSpacing/>
              <w:rPr>
                <w:rFonts w:eastAsia="標楷體" w:cstheme="minorHAnsi"/>
                <w:b/>
                <w:szCs w:val="24"/>
              </w:rPr>
            </w:pPr>
            <w:r w:rsidRPr="006E6584">
              <w:rPr>
                <w:rFonts w:eastAsia="標楷體" w:cstheme="minorHAnsi"/>
                <w:b/>
                <w:szCs w:val="24"/>
              </w:rPr>
              <w:t>REFERENCES</w:t>
            </w:r>
          </w:p>
        </w:tc>
        <w:tc>
          <w:tcPr>
            <w:tcW w:w="2679" w:type="pct"/>
          </w:tcPr>
          <w:p w:rsidR="00693F40" w:rsidRDefault="006E6584" w:rsidP="005C140E">
            <w:pPr>
              <w:snapToGrid w:val="0"/>
              <w:spacing w:afterLines="50" w:after="180" w:line="0" w:lineRule="atLeast"/>
              <w:jc w:val="both"/>
              <w:rPr>
                <w:rFonts w:eastAsia="標楷體" w:cstheme="minorHAnsi"/>
                <w:szCs w:val="24"/>
              </w:rPr>
            </w:pPr>
            <w:r w:rsidRPr="006E6584">
              <w:rPr>
                <w:rFonts w:eastAsia="標楷體" w:cstheme="minorHAnsi"/>
                <w:szCs w:val="24"/>
              </w:rPr>
              <w:t xml:space="preserve">ATSDR. Toxicological Profile for Silver. Agency for Toxic Substances and </w:t>
            </w:r>
            <w:r>
              <w:rPr>
                <w:rFonts w:eastAsia="標楷體" w:cstheme="minorHAnsi"/>
                <w:szCs w:val="24"/>
              </w:rPr>
              <w:t>Disease Registry, Public Health</w:t>
            </w:r>
            <w:r>
              <w:rPr>
                <w:rFonts w:eastAsia="標楷體" w:cstheme="minorHAnsi" w:hint="eastAsia"/>
                <w:szCs w:val="24"/>
              </w:rPr>
              <w:t xml:space="preserve"> </w:t>
            </w:r>
            <w:r w:rsidRPr="006E6584">
              <w:rPr>
                <w:rFonts w:eastAsia="標楷體" w:cstheme="minorHAnsi"/>
                <w:szCs w:val="24"/>
              </w:rPr>
              <w:t>Service, U.S. Department of Health and Human Services, Atlanta, GA. 1990.</w:t>
            </w:r>
          </w:p>
          <w:p w:rsidR="006E6584" w:rsidRDefault="006E6584" w:rsidP="005C140E">
            <w:pPr>
              <w:snapToGrid w:val="0"/>
              <w:spacing w:afterLines="50" w:after="180" w:line="0" w:lineRule="atLeast"/>
              <w:jc w:val="both"/>
              <w:rPr>
                <w:rFonts w:eastAsia="標楷體" w:cstheme="minorHAnsi"/>
                <w:color w:val="FF0000"/>
                <w:szCs w:val="24"/>
              </w:rPr>
            </w:pPr>
            <w:r w:rsidRPr="006E6584">
              <w:rPr>
                <w:rFonts w:eastAsia="標楷體" w:cstheme="minorHAnsi"/>
                <w:color w:val="FF0000"/>
                <w:szCs w:val="24"/>
              </w:rPr>
              <w:t xml:space="preserve">Gaul LE, Staud AH. Clinical spectroscopy. Seventy cases of generalized argyrosis </w:t>
            </w:r>
            <w:r w:rsidRPr="006E6584">
              <w:rPr>
                <w:rFonts w:eastAsia="標楷體" w:cstheme="minorHAnsi"/>
                <w:color w:val="FF0000"/>
                <w:szCs w:val="24"/>
              </w:rPr>
              <w:lastRenderedPageBreak/>
              <w:t>following organic and colloidal Ag medication. JAMA. 1935, 104:1387–1390.</w:t>
            </w:r>
          </w:p>
          <w:p w:rsidR="006E6584" w:rsidRPr="006E6584" w:rsidRDefault="006E6584" w:rsidP="005C140E">
            <w:pPr>
              <w:snapToGrid w:val="0"/>
              <w:spacing w:afterLines="50" w:after="180" w:line="0" w:lineRule="atLeast"/>
              <w:jc w:val="both"/>
              <w:rPr>
                <w:rFonts w:eastAsia="標楷體" w:cstheme="minorHAnsi"/>
                <w:color w:val="FF0000"/>
                <w:szCs w:val="24"/>
              </w:rPr>
            </w:pPr>
            <w:r w:rsidRPr="006E6584">
              <w:rPr>
                <w:rFonts w:eastAsia="標楷體" w:cstheme="minorHAnsi"/>
                <w:color w:val="FF0000"/>
                <w:szCs w:val="24"/>
              </w:rPr>
              <w:t>Hadrup N, Lam HR. Oral toxicity of silver ions, silver nan</w:t>
            </w:r>
            <w:r>
              <w:rPr>
                <w:rFonts w:eastAsia="標楷體" w:cstheme="minorHAnsi"/>
                <w:color w:val="FF0000"/>
                <w:szCs w:val="24"/>
              </w:rPr>
              <w:t>oparticles and colloidal silver</w:t>
            </w:r>
            <w:r w:rsidRPr="006E6584">
              <w:rPr>
                <w:rFonts w:eastAsia="標楷體" w:cstheme="minorHAnsi"/>
                <w:color w:val="FF0000"/>
                <w:szCs w:val="24"/>
              </w:rPr>
              <w:t xml:space="preserve"> - A review. Regul</w:t>
            </w:r>
            <w:r w:rsidRPr="006E6584">
              <w:rPr>
                <w:rFonts w:eastAsia="標楷體" w:cstheme="minorHAnsi" w:hint="eastAsia"/>
                <w:color w:val="FF0000"/>
                <w:szCs w:val="24"/>
              </w:rPr>
              <w:t xml:space="preserve"> </w:t>
            </w:r>
            <w:r w:rsidRPr="006E6584">
              <w:rPr>
                <w:rFonts w:eastAsia="標楷體" w:cstheme="minorHAnsi"/>
                <w:color w:val="FF0000"/>
                <w:szCs w:val="24"/>
              </w:rPr>
              <w:t>Toxicol Pharmacol. 2014 68(1):1-7.</w:t>
            </w:r>
          </w:p>
          <w:p w:rsidR="006E6584" w:rsidRPr="006E6584" w:rsidRDefault="006E6584" w:rsidP="005C140E">
            <w:pPr>
              <w:snapToGrid w:val="0"/>
              <w:spacing w:afterLines="50" w:after="180" w:line="0" w:lineRule="atLeast"/>
              <w:jc w:val="both"/>
              <w:rPr>
                <w:rFonts w:eastAsia="標楷體" w:cstheme="minorHAnsi"/>
                <w:szCs w:val="24"/>
              </w:rPr>
            </w:pPr>
            <w:r w:rsidRPr="006E6584">
              <w:rPr>
                <w:rFonts w:eastAsia="標楷體" w:cstheme="minorHAnsi"/>
                <w:szCs w:val="24"/>
              </w:rPr>
              <w:t>Hymowitz N, Eckholt H. Effects of a 2.5-mg silver acetate lozenge o</w:t>
            </w:r>
            <w:r>
              <w:rPr>
                <w:rFonts w:eastAsia="標楷體" w:cstheme="minorHAnsi"/>
                <w:szCs w:val="24"/>
              </w:rPr>
              <w:t>n initial and long-term smoking</w:t>
            </w:r>
            <w:r w:rsidRPr="006E6584">
              <w:rPr>
                <w:rFonts w:eastAsia="標楷體" w:cstheme="minorHAnsi"/>
                <w:szCs w:val="24"/>
              </w:rPr>
              <w:t xml:space="preserve"> cessation. Prev Med 1996;25:537-46.</w:t>
            </w:r>
          </w:p>
          <w:p w:rsidR="006E6584" w:rsidRPr="006E6584" w:rsidRDefault="006E6584" w:rsidP="005C140E">
            <w:pPr>
              <w:snapToGrid w:val="0"/>
              <w:spacing w:afterLines="50" w:after="180" w:line="0" w:lineRule="atLeast"/>
              <w:jc w:val="both"/>
              <w:rPr>
                <w:rFonts w:eastAsia="標楷體" w:cstheme="minorHAnsi"/>
                <w:szCs w:val="24"/>
              </w:rPr>
            </w:pPr>
            <w:r w:rsidRPr="006E6584">
              <w:rPr>
                <w:rFonts w:eastAsia="標楷體" w:cstheme="minorHAnsi"/>
                <w:szCs w:val="24"/>
              </w:rPr>
              <w:t>Rungby J, Danscher G. Hypoactivity in silver exposed mice. Acta Pharmacol Toxicol 1984;55:398-401.</w:t>
            </w:r>
          </w:p>
          <w:p w:rsidR="006E6584" w:rsidRPr="006E6584" w:rsidRDefault="006E6584" w:rsidP="005C140E">
            <w:pPr>
              <w:snapToGrid w:val="0"/>
              <w:spacing w:afterLines="50" w:after="180" w:line="0" w:lineRule="atLeast"/>
              <w:jc w:val="both"/>
              <w:rPr>
                <w:rFonts w:eastAsia="標楷體" w:cstheme="minorHAnsi"/>
                <w:szCs w:val="24"/>
              </w:rPr>
            </w:pPr>
            <w:r w:rsidRPr="006E6584">
              <w:rPr>
                <w:rFonts w:eastAsia="標楷體" w:cstheme="minorHAnsi"/>
                <w:szCs w:val="24"/>
              </w:rPr>
              <w:t>Rungby J, Danscher G. Localization of exogenous silver in brain and spin</w:t>
            </w:r>
            <w:r>
              <w:rPr>
                <w:rFonts w:eastAsia="標楷體" w:cstheme="minorHAnsi"/>
                <w:szCs w:val="24"/>
              </w:rPr>
              <w:t>al cord of silver exposed rats.</w:t>
            </w:r>
            <w:r>
              <w:rPr>
                <w:rFonts w:eastAsia="標楷體" w:cstheme="minorHAnsi" w:hint="eastAsia"/>
                <w:szCs w:val="24"/>
              </w:rPr>
              <w:t xml:space="preserve"> </w:t>
            </w:r>
            <w:r w:rsidRPr="006E6584">
              <w:rPr>
                <w:rFonts w:eastAsia="標楷體" w:cstheme="minorHAnsi"/>
                <w:szCs w:val="24"/>
              </w:rPr>
              <w:t>Acta Neuropathol 1983;60(1-2):92-8.</w:t>
            </w:r>
          </w:p>
          <w:p w:rsidR="006E6584" w:rsidRPr="006E6584" w:rsidRDefault="006E6584" w:rsidP="005C140E">
            <w:pPr>
              <w:snapToGrid w:val="0"/>
              <w:spacing w:afterLines="50" w:after="180" w:line="0" w:lineRule="atLeast"/>
              <w:jc w:val="both"/>
              <w:rPr>
                <w:rFonts w:eastAsia="標楷體" w:cstheme="minorHAnsi"/>
                <w:szCs w:val="24"/>
              </w:rPr>
            </w:pPr>
            <w:r w:rsidRPr="006E6584">
              <w:rPr>
                <w:rFonts w:eastAsia="標楷體" w:cstheme="minorHAnsi"/>
                <w:szCs w:val="24"/>
              </w:rPr>
              <w:t>US DoL (OHSA). 29 CRF 1910.1000 Table Z-1. Limits for air contamin</w:t>
            </w:r>
            <w:r>
              <w:rPr>
                <w:rFonts w:eastAsia="標楷體" w:cstheme="minorHAnsi"/>
                <w:szCs w:val="24"/>
              </w:rPr>
              <w:t>ants. U.S. Department of Labor.</w:t>
            </w:r>
            <w:r w:rsidRPr="006E6584">
              <w:rPr>
                <w:rFonts w:eastAsia="標楷體" w:cstheme="minorHAnsi"/>
                <w:szCs w:val="24"/>
              </w:rPr>
              <w:t xml:space="preserve"> 2013.</w:t>
            </w:r>
          </w:p>
          <w:p w:rsidR="006E6584" w:rsidRPr="00B55920" w:rsidRDefault="006E6584" w:rsidP="005C140E">
            <w:pPr>
              <w:snapToGrid w:val="0"/>
              <w:spacing w:afterLines="50" w:after="180" w:line="0" w:lineRule="atLeast"/>
              <w:jc w:val="both"/>
              <w:rPr>
                <w:rFonts w:eastAsia="標楷體" w:cstheme="minorHAnsi"/>
                <w:szCs w:val="24"/>
              </w:rPr>
            </w:pPr>
            <w:r w:rsidRPr="006E6584">
              <w:rPr>
                <w:rFonts w:eastAsia="標楷體" w:cstheme="minorHAnsi"/>
                <w:szCs w:val="24"/>
              </w:rPr>
              <w:t>US EPA. Silver (CASRN 7440-22-4). Integrated Risk Information System (IRIS). 2003.</w:t>
            </w:r>
          </w:p>
        </w:tc>
        <w:tc>
          <w:tcPr>
            <w:tcW w:w="970" w:type="pct"/>
          </w:tcPr>
          <w:p w:rsidR="00693F40" w:rsidRPr="00B55920" w:rsidRDefault="00693F40" w:rsidP="00525292">
            <w:pPr>
              <w:snapToGrid w:val="0"/>
              <w:spacing w:beforeLines="50" w:before="180" w:afterLines="50" w:after="180" w:line="0" w:lineRule="atLeast"/>
              <w:contextualSpacing/>
              <w:rPr>
                <w:rFonts w:eastAsia="標楷體" w:cstheme="minorHAnsi"/>
                <w:szCs w:val="24"/>
              </w:rPr>
            </w:pPr>
          </w:p>
        </w:tc>
      </w:tr>
      <w:tr w:rsidR="006B7164" w:rsidRPr="00B55920" w:rsidTr="00241B16">
        <w:tc>
          <w:tcPr>
            <w:tcW w:w="5000" w:type="pct"/>
            <w:gridSpan w:val="4"/>
          </w:tcPr>
          <w:p w:rsidR="006B7164" w:rsidRDefault="006B7164" w:rsidP="00525292">
            <w:pPr>
              <w:snapToGrid w:val="0"/>
              <w:spacing w:beforeLines="50" w:before="180" w:afterLines="50" w:after="180" w:line="0" w:lineRule="atLeast"/>
              <w:contextualSpacing/>
              <w:rPr>
                <w:rFonts w:cstheme="minorHAnsi"/>
                <w:b/>
                <w:bCs/>
                <w:color w:val="FF0000"/>
                <w:kern w:val="0"/>
                <w:sz w:val="28"/>
                <w:szCs w:val="31"/>
              </w:rPr>
            </w:pPr>
            <w:r w:rsidRPr="006B7164">
              <w:rPr>
                <w:rFonts w:cstheme="minorHAnsi"/>
                <w:b/>
                <w:bCs/>
                <w:color w:val="FF0000"/>
                <w:kern w:val="0"/>
                <w:sz w:val="28"/>
                <w:szCs w:val="31"/>
              </w:rPr>
              <w:t>Part 4 - Q3D Appendix 5</w:t>
            </w:r>
          </w:p>
          <w:p w:rsidR="006B7164" w:rsidRPr="006B7164" w:rsidRDefault="006B7164" w:rsidP="00525292">
            <w:pPr>
              <w:snapToGrid w:val="0"/>
              <w:spacing w:beforeLines="50" w:before="180" w:afterLines="50" w:after="180" w:line="0" w:lineRule="atLeast"/>
              <w:contextualSpacing/>
              <w:rPr>
                <w:rFonts w:eastAsia="標楷體" w:cstheme="minorHAnsi"/>
                <w:sz w:val="28"/>
                <w:szCs w:val="24"/>
              </w:rPr>
            </w:pPr>
            <w:r w:rsidRPr="006B7164">
              <w:rPr>
                <w:rFonts w:eastAsia="標楷體" w:cstheme="minorHAnsi"/>
                <w:color w:val="FF0000"/>
                <w:sz w:val="28"/>
                <w:szCs w:val="24"/>
              </w:rPr>
              <w:t>The new proposed Appendix 5 is intended to be integrated into the Q3D(R2) Guideline</w:t>
            </w:r>
          </w:p>
        </w:tc>
      </w:tr>
      <w:tr w:rsidR="007D5390" w:rsidRPr="00B55920" w:rsidTr="00241B16">
        <w:tc>
          <w:tcPr>
            <w:tcW w:w="4030" w:type="pct"/>
            <w:gridSpan w:val="3"/>
          </w:tcPr>
          <w:p w:rsidR="007D5390" w:rsidRDefault="007D5390" w:rsidP="00525292">
            <w:pPr>
              <w:snapToGrid w:val="0"/>
              <w:spacing w:beforeLines="50" w:before="180" w:afterLines="50" w:after="180" w:line="0" w:lineRule="atLeast"/>
              <w:contextualSpacing/>
              <w:rPr>
                <w:rFonts w:eastAsia="標楷體" w:cstheme="minorHAnsi"/>
                <w:b/>
                <w:sz w:val="28"/>
                <w:szCs w:val="24"/>
              </w:rPr>
            </w:pPr>
            <w:r w:rsidRPr="000A7599">
              <w:rPr>
                <w:rFonts w:eastAsia="標楷體" w:cstheme="minorHAnsi"/>
                <w:b/>
                <w:sz w:val="28"/>
                <w:szCs w:val="24"/>
              </w:rPr>
              <w:t>Appendix 5: Limits for Elemental Impurities by 176 the Cutaneous and</w:t>
            </w:r>
            <w:r w:rsidRPr="000A7599">
              <w:rPr>
                <w:rFonts w:eastAsia="標楷體" w:cstheme="minorHAnsi" w:hint="eastAsia"/>
                <w:b/>
                <w:sz w:val="28"/>
                <w:szCs w:val="24"/>
              </w:rPr>
              <w:t xml:space="preserve"> </w:t>
            </w:r>
            <w:r w:rsidRPr="000A7599">
              <w:rPr>
                <w:rFonts w:eastAsia="標楷體" w:cstheme="minorHAnsi"/>
                <w:b/>
                <w:sz w:val="28"/>
                <w:szCs w:val="24"/>
              </w:rPr>
              <w:t>Transcutaneous Route</w:t>
            </w:r>
          </w:p>
          <w:p w:rsidR="007D5390" w:rsidRPr="000A7599" w:rsidRDefault="007D5390" w:rsidP="00525292">
            <w:pPr>
              <w:snapToGrid w:val="0"/>
              <w:spacing w:beforeLines="50" w:before="180" w:afterLines="50" w:after="180" w:line="0" w:lineRule="atLeast"/>
              <w:contextualSpacing/>
              <w:jc w:val="center"/>
              <w:rPr>
                <w:rFonts w:eastAsia="標楷體" w:cstheme="minorHAnsi"/>
                <w:b/>
                <w:szCs w:val="24"/>
              </w:rPr>
            </w:pPr>
            <w:r>
              <w:rPr>
                <w:noProof/>
              </w:rPr>
              <w:lastRenderedPageBreak/>
              <w:drawing>
                <wp:inline distT="0" distB="0" distL="0" distR="0" wp14:anchorId="5E08DB83" wp14:editId="14DA1599">
                  <wp:extent cx="5698541" cy="3634740"/>
                  <wp:effectExtent l="0" t="0" r="0" b="381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3015" b="2554"/>
                          <a:stretch/>
                        </pic:blipFill>
                        <pic:spPr bwMode="auto">
                          <a:xfrm>
                            <a:off x="0" y="0"/>
                            <a:ext cx="5744641" cy="3664145"/>
                          </a:xfrm>
                          <a:prstGeom prst="rect">
                            <a:avLst/>
                          </a:prstGeom>
                          <a:ln>
                            <a:noFill/>
                          </a:ln>
                          <a:extLst>
                            <a:ext uri="{53640926-AAD7-44D8-BBD7-CCE9431645EC}">
                              <a14:shadowObscured xmlns:a14="http://schemas.microsoft.com/office/drawing/2010/main"/>
                            </a:ext>
                          </a:extLst>
                        </pic:spPr>
                      </pic:pic>
                    </a:graphicData>
                  </a:graphic>
                </wp:inline>
              </w:drawing>
            </w:r>
          </w:p>
        </w:tc>
        <w:tc>
          <w:tcPr>
            <w:tcW w:w="970" w:type="pct"/>
          </w:tcPr>
          <w:p w:rsidR="007D5390" w:rsidRDefault="007D5390" w:rsidP="00525292">
            <w:pPr>
              <w:widowControl/>
              <w:spacing w:before="50" w:after="50"/>
              <w:rPr>
                <w:rFonts w:eastAsia="標楷體" w:cstheme="minorHAnsi"/>
                <w:b/>
                <w:szCs w:val="24"/>
              </w:rPr>
            </w:pPr>
          </w:p>
          <w:p w:rsidR="007D5390" w:rsidRPr="000A7599" w:rsidRDefault="007D5390" w:rsidP="00525292">
            <w:pPr>
              <w:snapToGrid w:val="0"/>
              <w:spacing w:beforeLines="50" w:before="180" w:afterLines="50" w:after="180" w:line="0" w:lineRule="atLeast"/>
              <w:contextualSpacing/>
              <w:jc w:val="center"/>
              <w:rPr>
                <w:rFonts w:eastAsia="標楷體" w:cstheme="minorHAnsi"/>
                <w:b/>
                <w:szCs w:val="24"/>
              </w:rPr>
            </w:pPr>
          </w:p>
        </w:tc>
      </w:tr>
      <w:tr w:rsidR="002813D1" w:rsidRPr="00B55920" w:rsidTr="005C140E">
        <w:trPr>
          <w:trHeight w:val="20"/>
        </w:trPr>
        <w:tc>
          <w:tcPr>
            <w:tcW w:w="262" w:type="pct"/>
          </w:tcPr>
          <w:p w:rsidR="002813D1" w:rsidRPr="00FE5D79" w:rsidRDefault="00241B16" w:rsidP="00525292">
            <w:pPr>
              <w:snapToGrid w:val="0"/>
              <w:spacing w:beforeLines="50" w:before="180" w:afterLines="50" w:after="180" w:line="0" w:lineRule="atLeast"/>
              <w:contextualSpacing/>
              <w:jc w:val="center"/>
              <w:rPr>
                <w:rFonts w:eastAsia="標楷體" w:cstheme="minorHAnsi"/>
                <w:b/>
                <w:szCs w:val="24"/>
              </w:rPr>
            </w:pPr>
            <w:r w:rsidRPr="00FE5D79">
              <w:rPr>
                <w:rFonts w:eastAsia="標楷體" w:cstheme="minorHAnsi" w:hint="eastAsia"/>
                <w:b/>
                <w:szCs w:val="24"/>
              </w:rPr>
              <w:t>1</w:t>
            </w:r>
          </w:p>
        </w:tc>
        <w:tc>
          <w:tcPr>
            <w:tcW w:w="1089" w:type="pct"/>
          </w:tcPr>
          <w:p w:rsidR="002813D1" w:rsidRPr="00FE5D79" w:rsidRDefault="002813D1" w:rsidP="00525292">
            <w:pPr>
              <w:snapToGrid w:val="0"/>
              <w:spacing w:beforeLines="50" w:before="180" w:afterLines="50" w:after="180" w:line="0" w:lineRule="atLeast"/>
              <w:contextualSpacing/>
              <w:rPr>
                <w:rFonts w:eastAsia="標楷體" w:cstheme="minorHAnsi"/>
                <w:b/>
                <w:szCs w:val="24"/>
              </w:rPr>
            </w:pPr>
            <w:r w:rsidRPr="00FE5D79">
              <w:rPr>
                <w:rFonts w:eastAsia="標楷體" w:cstheme="minorHAnsi"/>
                <w:b/>
                <w:szCs w:val="24"/>
              </w:rPr>
              <w:t>BACKGROUND</w:t>
            </w:r>
          </w:p>
        </w:tc>
        <w:tc>
          <w:tcPr>
            <w:tcW w:w="2679" w:type="pct"/>
          </w:tcPr>
          <w:p w:rsidR="002813D1" w:rsidRDefault="002813D1" w:rsidP="005C140E">
            <w:pPr>
              <w:snapToGrid w:val="0"/>
              <w:spacing w:afterLines="50" w:after="180" w:line="0" w:lineRule="atLeast"/>
              <w:jc w:val="both"/>
              <w:rPr>
                <w:rFonts w:eastAsia="標楷體" w:cstheme="minorHAnsi"/>
                <w:szCs w:val="24"/>
              </w:rPr>
            </w:pPr>
            <w:r w:rsidRPr="002813D1">
              <w:rPr>
                <w:rFonts w:eastAsia="標楷體" w:cstheme="minorHAnsi"/>
                <w:szCs w:val="24"/>
              </w:rPr>
              <w:t>In December 2014, ICH approved the ICH Q3D Guideline for El</w:t>
            </w:r>
            <w:r>
              <w:rPr>
                <w:rFonts w:eastAsia="標楷體" w:cstheme="minorHAnsi"/>
                <w:szCs w:val="24"/>
              </w:rPr>
              <w:t>emental Impurities developed by</w:t>
            </w:r>
            <w:r w:rsidRPr="002813D1">
              <w:rPr>
                <w:rFonts w:eastAsia="標楷體" w:cstheme="minorHAnsi"/>
                <w:szCs w:val="24"/>
              </w:rPr>
              <w:t xml:space="preserve"> the Expert Working Group. The Guideline provided Permitte</w:t>
            </w:r>
            <w:r>
              <w:rPr>
                <w:rFonts w:eastAsia="標楷體" w:cstheme="minorHAnsi"/>
                <w:szCs w:val="24"/>
              </w:rPr>
              <w:t>d Daily Exposures (PDEs) for 24</w:t>
            </w:r>
            <w:r w:rsidRPr="002813D1">
              <w:rPr>
                <w:rFonts w:eastAsia="標楷體" w:cstheme="minorHAnsi"/>
                <w:szCs w:val="24"/>
              </w:rPr>
              <w:t xml:space="preserve"> elemental impurities (EI) for the oral, parenteral, and inhalation route</w:t>
            </w:r>
            <w:r>
              <w:rPr>
                <w:rFonts w:eastAsia="標楷體" w:cstheme="minorHAnsi"/>
                <w:szCs w:val="24"/>
              </w:rPr>
              <w:t>s of administration. In section</w:t>
            </w:r>
            <w:r w:rsidRPr="002813D1">
              <w:rPr>
                <w:rFonts w:eastAsia="標楷體" w:cstheme="minorHAnsi"/>
                <w:szCs w:val="24"/>
              </w:rPr>
              <w:t xml:space="preserve"> 3.2 of the guideline, principles for establishing PDEs for oth</w:t>
            </w:r>
            <w:r>
              <w:rPr>
                <w:rFonts w:eastAsia="標楷體" w:cstheme="minorHAnsi"/>
                <w:szCs w:val="24"/>
              </w:rPr>
              <w:t>er routes of administration are</w:t>
            </w:r>
            <w:r w:rsidRPr="002813D1">
              <w:rPr>
                <w:rFonts w:eastAsia="標楷體" w:cstheme="minorHAnsi"/>
                <w:szCs w:val="24"/>
              </w:rPr>
              <w:t xml:space="preserve"> described. During the course of the development of Q3D, inter</w:t>
            </w:r>
            <w:r>
              <w:rPr>
                <w:rFonts w:eastAsia="標楷體" w:cstheme="minorHAnsi"/>
                <w:szCs w:val="24"/>
              </w:rPr>
              <w:t>est was expressed in developing</w:t>
            </w:r>
            <w:r w:rsidRPr="002813D1">
              <w:rPr>
                <w:rFonts w:eastAsia="標楷體" w:cstheme="minorHAnsi"/>
                <w:szCs w:val="24"/>
              </w:rPr>
              <w:t xml:space="preserve"> PDEs for the cutaneous and transcutaneous route, as these products remain the most significant area where PDEs for EI have not been formally established.</w:t>
            </w:r>
          </w:p>
          <w:p w:rsidR="002813D1" w:rsidRPr="00B55920" w:rsidRDefault="002813D1" w:rsidP="005C140E">
            <w:pPr>
              <w:snapToGrid w:val="0"/>
              <w:spacing w:afterLines="50" w:after="180" w:line="0" w:lineRule="atLeast"/>
              <w:jc w:val="both"/>
              <w:rPr>
                <w:rFonts w:eastAsia="標楷體" w:cstheme="minorHAnsi"/>
                <w:szCs w:val="24"/>
              </w:rPr>
            </w:pPr>
            <w:r w:rsidRPr="002813D1">
              <w:rPr>
                <w:rFonts w:eastAsia="標楷體" w:cstheme="minorHAnsi"/>
                <w:szCs w:val="24"/>
              </w:rPr>
              <w:t>In establishing cutaneous and transcutaneous limits, the role of sk</w:t>
            </w:r>
            <w:r>
              <w:rPr>
                <w:rFonts w:eastAsia="標楷體" w:cstheme="minorHAnsi"/>
                <w:szCs w:val="24"/>
              </w:rPr>
              <w:t>in is paramount. The skin is an</w:t>
            </w:r>
            <w:r w:rsidRPr="002813D1">
              <w:rPr>
                <w:rFonts w:eastAsia="標楷體" w:cstheme="minorHAnsi"/>
                <w:szCs w:val="24"/>
              </w:rPr>
              <w:t xml:space="preserve"> environmental barrier and a complex organ that has many fu</w:t>
            </w:r>
            <w:r>
              <w:rPr>
                <w:rFonts w:eastAsia="標楷體" w:cstheme="minorHAnsi"/>
                <w:szCs w:val="24"/>
              </w:rPr>
              <w:t>nctions, including limiting the</w:t>
            </w:r>
            <w:r w:rsidRPr="002813D1">
              <w:rPr>
                <w:rFonts w:eastAsia="標楷體" w:cstheme="minorHAnsi"/>
                <w:szCs w:val="24"/>
              </w:rPr>
              <w:t xml:space="preserve"> penetration of exogenous materials, metabolism, prevention of wate</w:t>
            </w:r>
            <w:r>
              <w:rPr>
                <w:rFonts w:eastAsia="標楷體" w:cstheme="minorHAnsi"/>
                <w:szCs w:val="24"/>
              </w:rPr>
              <w:t>r loss, temperature regulation,</w:t>
            </w:r>
            <w:r w:rsidRPr="002813D1">
              <w:rPr>
                <w:rFonts w:eastAsia="標楷體" w:cstheme="minorHAnsi"/>
                <w:szCs w:val="24"/>
              </w:rPr>
              <w:t xml:space="preserve"> and as an immune organ (Monteiro-Riviere and Filon, 2017). The skin is composed of both an</w:t>
            </w:r>
            <w:r>
              <w:rPr>
                <w:rFonts w:eastAsia="標楷體" w:cstheme="minorHAnsi" w:hint="eastAsia"/>
                <w:szCs w:val="24"/>
              </w:rPr>
              <w:t xml:space="preserve"> </w:t>
            </w:r>
            <w:r w:rsidRPr="002813D1">
              <w:rPr>
                <w:rFonts w:eastAsia="標楷體" w:cstheme="minorHAnsi"/>
                <w:szCs w:val="24"/>
              </w:rPr>
              <w:t xml:space="preserve">outer epidermis and an inner dermis, each composed of multiple </w:t>
            </w:r>
            <w:r>
              <w:rPr>
                <w:rFonts w:eastAsia="標楷體" w:cstheme="minorHAnsi"/>
                <w:szCs w:val="24"/>
              </w:rPr>
              <w:t>cellular layers. 210 Dermal (or</w:t>
            </w:r>
            <w:r w:rsidRPr="002813D1">
              <w:rPr>
                <w:rFonts w:eastAsia="標楷體" w:cstheme="minorHAnsi"/>
                <w:szCs w:val="24"/>
              </w:rPr>
              <w:t xml:space="preserve"> transcutaneous) absorption, i.e., the transport of a chemical from the</w:t>
            </w:r>
            <w:r>
              <w:rPr>
                <w:rFonts w:eastAsia="標楷體" w:cstheme="minorHAnsi"/>
                <w:szCs w:val="24"/>
              </w:rPr>
              <w:t xml:space="preserve"> outer surface of the skin into</w:t>
            </w:r>
            <w:r w:rsidRPr="002813D1">
              <w:rPr>
                <w:rFonts w:eastAsia="標楷體" w:cstheme="minorHAnsi"/>
                <w:szCs w:val="24"/>
              </w:rPr>
              <w:t xml:space="preserve"> </w:t>
            </w:r>
            <w:r w:rsidRPr="002813D1">
              <w:rPr>
                <w:rFonts w:eastAsia="標楷體" w:cstheme="minorHAnsi"/>
                <w:szCs w:val="24"/>
              </w:rPr>
              <w:lastRenderedPageBreak/>
              <w:t xml:space="preserve">systemic circulation, is dependent upon the properties of the skin, </w:t>
            </w:r>
            <w:r>
              <w:rPr>
                <w:rFonts w:eastAsia="標楷體" w:cstheme="minorHAnsi"/>
                <w:szCs w:val="24"/>
              </w:rPr>
              <w:t>the anatomical site, the nature</w:t>
            </w:r>
            <w:r w:rsidRPr="002813D1">
              <w:rPr>
                <w:rFonts w:eastAsia="標楷體" w:cstheme="minorHAnsi"/>
                <w:szCs w:val="24"/>
              </w:rPr>
              <w:t xml:space="preserve"> of the chemical applied and the characteristics of the application.</w:t>
            </w:r>
          </w:p>
          <w:p w:rsidR="002813D1" w:rsidRDefault="002813D1" w:rsidP="005C140E">
            <w:pPr>
              <w:snapToGrid w:val="0"/>
              <w:spacing w:afterLines="50" w:after="180" w:line="0" w:lineRule="atLeast"/>
              <w:jc w:val="both"/>
              <w:rPr>
                <w:rFonts w:eastAsia="標楷體" w:cstheme="minorHAnsi"/>
                <w:szCs w:val="24"/>
              </w:rPr>
            </w:pPr>
            <w:r w:rsidRPr="002813D1">
              <w:rPr>
                <w:rFonts w:eastAsia="標楷體" w:cstheme="minorHAnsi"/>
                <w:szCs w:val="24"/>
              </w:rPr>
              <w:t>The primary barrier to absorption is the outermost layer of the epidermis (i.e., the strat</w:t>
            </w:r>
            <w:r>
              <w:rPr>
                <w:rFonts w:eastAsia="標楷體" w:cstheme="minorHAnsi"/>
                <w:szCs w:val="24"/>
              </w:rPr>
              <w:t>um corneum)</w:t>
            </w:r>
            <w:r w:rsidRPr="002813D1">
              <w:rPr>
                <w:rFonts w:eastAsia="標楷體" w:cstheme="minorHAnsi"/>
                <w:szCs w:val="24"/>
              </w:rPr>
              <w:t xml:space="preserve"> which typically consists of 15-20 layers of non-viable cells. Th</w:t>
            </w:r>
            <w:r>
              <w:rPr>
                <w:rFonts w:eastAsia="標楷體" w:cstheme="minorHAnsi"/>
                <w:szCs w:val="24"/>
              </w:rPr>
              <w:t>e stratum corneum (horny layer)</w:t>
            </w:r>
            <w:r w:rsidRPr="002813D1">
              <w:rPr>
                <w:rFonts w:eastAsia="標楷體" w:cstheme="minorHAnsi"/>
                <w:szCs w:val="24"/>
              </w:rPr>
              <w:t xml:space="preserve"> serves as a highly effective barrier, especially to hydrophobic c</w:t>
            </w:r>
            <w:r>
              <w:rPr>
                <w:rFonts w:eastAsia="標楷體" w:cstheme="minorHAnsi"/>
                <w:szCs w:val="24"/>
              </w:rPr>
              <w:t>ompounds and charged molecules,</w:t>
            </w:r>
            <w:r w:rsidRPr="002813D1">
              <w:rPr>
                <w:rFonts w:eastAsia="標楷體" w:cstheme="minorHAnsi"/>
                <w:szCs w:val="24"/>
              </w:rPr>
              <w:t xml:space="preserve"> such as metal ions. For this reason, transcutaneous delivery i</w:t>
            </w:r>
            <w:r>
              <w:rPr>
                <w:rFonts w:eastAsia="標楷體" w:cstheme="minorHAnsi"/>
                <w:szCs w:val="24"/>
              </w:rPr>
              <w:t>nto the systemic circulation of</w:t>
            </w:r>
            <w:r w:rsidRPr="002813D1">
              <w:rPr>
                <w:rFonts w:eastAsia="標楷體" w:cstheme="minorHAnsi"/>
                <w:szCs w:val="24"/>
              </w:rPr>
              <w:t xml:space="preserve"> materials including any active pharmaceutical ingredient (API) </w:t>
            </w:r>
            <w:r>
              <w:rPr>
                <w:rFonts w:eastAsia="標楷體" w:cstheme="minorHAnsi"/>
                <w:szCs w:val="24"/>
              </w:rPr>
              <w:t>typically requires physical and</w:t>
            </w:r>
            <w:r w:rsidRPr="002813D1">
              <w:rPr>
                <w:rFonts w:eastAsia="標楷體" w:cstheme="minorHAnsi"/>
                <w:szCs w:val="24"/>
              </w:rPr>
              <w:t xml:space="preserve"> chemical agents (e.g., penetration enhancers) to assist in the transcutaneous absorption of the API.</w:t>
            </w:r>
          </w:p>
          <w:p w:rsidR="002813D1" w:rsidRDefault="002813D1" w:rsidP="005C140E">
            <w:pPr>
              <w:snapToGrid w:val="0"/>
              <w:spacing w:afterLines="50" w:after="180" w:line="0" w:lineRule="atLeast"/>
              <w:jc w:val="both"/>
              <w:rPr>
                <w:rFonts w:eastAsia="標楷體" w:cstheme="minorHAnsi"/>
                <w:szCs w:val="24"/>
              </w:rPr>
            </w:pPr>
            <w:r w:rsidRPr="002813D1">
              <w:rPr>
                <w:rFonts w:eastAsia="標楷體" w:cstheme="minorHAnsi"/>
                <w:szCs w:val="24"/>
              </w:rPr>
              <w:t xml:space="preserve">In respect to these “penetration enhancers,” it is noteworthy that </w:t>
            </w:r>
            <w:r>
              <w:rPr>
                <w:rFonts w:eastAsia="標楷體" w:cstheme="minorHAnsi"/>
                <w:szCs w:val="24"/>
              </w:rPr>
              <w:t>agents that enhance penetration</w:t>
            </w:r>
            <w:r w:rsidRPr="002813D1">
              <w:rPr>
                <w:rFonts w:eastAsia="標楷體" w:cstheme="minorHAnsi"/>
                <w:szCs w:val="24"/>
              </w:rPr>
              <w:t xml:space="preserve"> of an API are usually not applicable for EI due to fundamental </w:t>
            </w:r>
            <w:r>
              <w:rPr>
                <w:rFonts w:eastAsia="標楷體" w:cstheme="minorHAnsi"/>
                <w:szCs w:val="24"/>
              </w:rPr>
              <w:t>differences in physico-chemical</w:t>
            </w:r>
            <w:r w:rsidRPr="002813D1">
              <w:rPr>
                <w:rFonts w:eastAsia="標楷體" w:cstheme="minorHAnsi"/>
                <w:szCs w:val="24"/>
              </w:rPr>
              <w:t xml:space="preserve"> properties. Limited research has been conducted to evaluate the sys</w:t>
            </w:r>
            <w:r>
              <w:rPr>
                <w:rFonts w:eastAsia="標楷體" w:cstheme="minorHAnsi"/>
                <w:szCs w:val="24"/>
              </w:rPr>
              <w:t>temic absorption of EIs applied</w:t>
            </w:r>
            <w:r w:rsidRPr="002813D1">
              <w:rPr>
                <w:rFonts w:eastAsia="標楷體" w:cstheme="minorHAnsi"/>
                <w:szCs w:val="24"/>
              </w:rPr>
              <w:t xml:space="preserve"> to the skin. The skin may respond to exposure in various ways. </w:t>
            </w:r>
            <w:r>
              <w:rPr>
                <w:rFonts w:eastAsia="標楷體" w:cstheme="minorHAnsi"/>
                <w:szCs w:val="24"/>
              </w:rPr>
              <w:t>For example, approximately half</w:t>
            </w:r>
            <w:r w:rsidRPr="002813D1">
              <w:rPr>
                <w:rFonts w:eastAsia="標楷體" w:cstheme="minorHAnsi"/>
                <w:szCs w:val="24"/>
              </w:rPr>
              <w:t xml:space="preserve"> of mercury vapor taken up by the skin (1 - 4% of the dose) was sh</w:t>
            </w:r>
            <w:r>
              <w:rPr>
                <w:rFonts w:eastAsia="標楷體" w:cstheme="minorHAnsi"/>
                <w:szCs w:val="24"/>
              </w:rPr>
              <w:t>ed by desquamation of epidermal</w:t>
            </w:r>
            <w:r w:rsidRPr="002813D1">
              <w:rPr>
                <w:rFonts w:eastAsia="標楷體" w:cstheme="minorHAnsi"/>
                <w:szCs w:val="24"/>
              </w:rPr>
              <w:t xml:space="preserve"> cells for several weeks after exposure, while the remainder in th</w:t>
            </w:r>
            <w:r>
              <w:rPr>
                <w:rFonts w:eastAsia="標楷體" w:cstheme="minorHAnsi"/>
                <w:szCs w:val="24"/>
              </w:rPr>
              <w:t>e skin was slowly released into</w:t>
            </w:r>
            <w:r w:rsidRPr="002813D1">
              <w:rPr>
                <w:rFonts w:eastAsia="標楷體" w:cstheme="minorHAnsi"/>
                <w:szCs w:val="24"/>
              </w:rPr>
              <w:t xml:space="preserve"> general circulation (Hursh et al., 1989). Hostýnek et al. (1993) describes that </w:t>
            </w:r>
            <w:r>
              <w:rPr>
                <w:rFonts w:eastAsia="標楷體" w:cstheme="minorHAnsi"/>
                <w:szCs w:val="24"/>
              </w:rPr>
              <w:t>silver (Ag) is</w:t>
            </w:r>
            <w:r w:rsidRPr="002813D1">
              <w:rPr>
                <w:rFonts w:eastAsia="標楷體" w:cstheme="minorHAnsi"/>
                <w:szCs w:val="24"/>
              </w:rPr>
              <w:t xml:space="preserve"> preferentially accumulated in the skin and is not liberated. Availabl</w:t>
            </w:r>
            <w:r>
              <w:rPr>
                <w:rFonts w:eastAsia="標楷體" w:cstheme="minorHAnsi"/>
                <w:szCs w:val="24"/>
              </w:rPr>
              <w:t>e data indicates that gold (Au)</w:t>
            </w:r>
            <w:r w:rsidRPr="002813D1">
              <w:rPr>
                <w:rFonts w:eastAsia="標楷體" w:cstheme="minorHAnsi"/>
                <w:szCs w:val="24"/>
              </w:rPr>
              <w:t xml:space="preserve"> is not readily absorbed through skin due to inertness and lack</w:t>
            </w:r>
            <w:r>
              <w:rPr>
                <w:rFonts w:eastAsia="標楷體" w:cstheme="minorHAnsi"/>
                <w:szCs w:val="24"/>
              </w:rPr>
              <w:t xml:space="preserve"> of ionization by bodily fluids</w:t>
            </w:r>
            <w:r w:rsidRPr="002813D1">
              <w:rPr>
                <w:rFonts w:eastAsia="標楷體" w:cstheme="minorHAnsi"/>
                <w:szCs w:val="24"/>
              </w:rPr>
              <w:t xml:space="preserve"> (Lansdown, 2012). Gold, in salt form, has been shown to bind readily </w:t>
            </w:r>
            <w:r>
              <w:rPr>
                <w:rFonts w:eastAsia="標楷體" w:cstheme="minorHAnsi"/>
                <w:szCs w:val="24"/>
              </w:rPr>
              <w:t>to sulfhydryl groups of</w:t>
            </w:r>
            <w:r w:rsidRPr="002813D1">
              <w:rPr>
                <w:rFonts w:eastAsia="標楷體" w:cstheme="minorHAnsi"/>
                <w:szCs w:val="24"/>
              </w:rPr>
              <w:t xml:space="preserve"> epidermal keratin and remain in the skin (Lansdown, 2012). Metal </w:t>
            </w:r>
            <w:r>
              <w:rPr>
                <w:rFonts w:eastAsia="標楷體" w:cstheme="minorHAnsi"/>
                <w:szCs w:val="24"/>
              </w:rPr>
              <w:t>binding proteins are present in</w:t>
            </w:r>
            <w:r w:rsidRPr="002813D1">
              <w:rPr>
                <w:rFonts w:eastAsia="標楷體" w:cstheme="minorHAnsi"/>
                <w:szCs w:val="24"/>
              </w:rPr>
              <w:t xml:space="preserve"> some fetal and adult skin (e.g., basal keratinocytes of epidermis and </w:t>
            </w:r>
            <w:r>
              <w:rPr>
                <w:rFonts w:eastAsia="標楷體" w:cstheme="minorHAnsi"/>
                <w:szCs w:val="24"/>
              </w:rPr>
              <w:t>outer hair root sheath) but not</w:t>
            </w:r>
            <w:r w:rsidRPr="002813D1">
              <w:rPr>
                <w:rFonts w:eastAsia="標楷體" w:cstheme="minorHAnsi"/>
                <w:szCs w:val="24"/>
              </w:rPr>
              <w:t xml:space="preserve"> in other cell types (e.g., exocrine portion of the eccrine glands), indica</w:t>
            </w:r>
            <w:r>
              <w:rPr>
                <w:rFonts w:eastAsia="標楷體" w:cstheme="minorHAnsi"/>
                <w:szCs w:val="24"/>
              </w:rPr>
              <w:t>ting the skin has the potential</w:t>
            </w:r>
            <w:r w:rsidRPr="002813D1">
              <w:rPr>
                <w:rFonts w:eastAsia="標楷體" w:cstheme="minorHAnsi"/>
                <w:szCs w:val="24"/>
              </w:rPr>
              <w:t xml:space="preserve"> for binding and metabolism of metals (van den Oord and De Ley, 1994)</w:t>
            </w:r>
          </w:p>
          <w:p w:rsidR="002813D1" w:rsidRDefault="002813D1" w:rsidP="005C140E">
            <w:pPr>
              <w:snapToGrid w:val="0"/>
              <w:spacing w:afterLines="50" w:after="180" w:line="0" w:lineRule="atLeast"/>
              <w:jc w:val="both"/>
              <w:rPr>
                <w:rFonts w:eastAsia="標楷體" w:cstheme="minorHAnsi"/>
                <w:szCs w:val="24"/>
              </w:rPr>
            </w:pPr>
            <w:r w:rsidRPr="002813D1">
              <w:rPr>
                <w:rFonts w:eastAsia="標楷體" w:cstheme="minorHAnsi"/>
                <w:szCs w:val="24"/>
              </w:rPr>
              <w:t xml:space="preserve">Together these properties of the skin layers represent a significant </w:t>
            </w:r>
            <w:r>
              <w:rPr>
                <w:rFonts w:eastAsia="標楷體" w:cstheme="minorHAnsi"/>
                <w:szCs w:val="24"/>
              </w:rPr>
              <w:t>barrier to systemic exposure as</w:t>
            </w:r>
            <w:r w:rsidRPr="002813D1">
              <w:rPr>
                <w:rFonts w:eastAsia="標楷體" w:cstheme="minorHAnsi"/>
                <w:szCs w:val="24"/>
              </w:rPr>
              <w:t xml:space="preserve"> illustrated by quantitative absorption data reviewed by Hostýn</w:t>
            </w:r>
            <w:r>
              <w:rPr>
                <w:rFonts w:eastAsia="標楷體" w:cstheme="minorHAnsi"/>
                <w:szCs w:val="24"/>
              </w:rPr>
              <w:t>ek et al. (1993). This systemic</w:t>
            </w:r>
            <w:r w:rsidRPr="002813D1">
              <w:rPr>
                <w:rFonts w:eastAsia="標楷體" w:cstheme="minorHAnsi"/>
                <w:szCs w:val="24"/>
              </w:rPr>
              <w:t xml:space="preserve"> exposure is reported to be &lt; 1% absorption for most of the evaluated</w:t>
            </w:r>
            <w:r>
              <w:rPr>
                <w:rFonts w:eastAsia="標楷體" w:cstheme="minorHAnsi"/>
                <w:szCs w:val="24"/>
              </w:rPr>
              <w:t xml:space="preserve"> EI in scope of this guideline.</w:t>
            </w:r>
            <w:r w:rsidRPr="002813D1">
              <w:rPr>
                <w:rFonts w:eastAsia="標楷體" w:cstheme="minorHAnsi"/>
                <w:szCs w:val="24"/>
              </w:rPr>
              <w:t xml:space="preserve"> Transcutaneous absorption of EI is discussed in more detail in section 3.</w:t>
            </w:r>
          </w:p>
          <w:p w:rsidR="002813D1" w:rsidRPr="00241B16" w:rsidRDefault="002813D1" w:rsidP="00CB7CBF">
            <w:pPr>
              <w:snapToGrid w:val="0"/>
              <w:spacing w:afterLines="50" w:after="180" w:line="0" w:lineRule="atLeast"/>
              <w:jc w:val="both"/>
              <w:rPr>
                <w:rFonts w:eastAsia="標楷體" w:cstheme="minorHAnsi"/>
                <w:szCs w:val="24"/>
              </w:rPr>
            </w:pPr>
            <w:r w:rsidRPr="002813D1">
              <w:rPr>
                <w:rFonts w:eastAsia="標楷體" w:cstheme="minorHAnsi"/>
                <w:szCs w:val="24"/>
              </w:rPr>
              <w:t>Elements evaluated in this guideline were assessed by reviewing pu</w:t>
            </w:r>
            <w:r>
              <w:rPr>
                <w:rFonts w:eastAsia="標楷體" w:cstheme="minorHAnsi"/>
                <w:szCs w:val="24"/>
              </w:rPr>
              <w:t xml:space="preserve">blicly available </w:t>
            </w:r>
            <w:r>
              <w:rPr>
                <w:rFonts w:eastAsia="標楷體" w:cstheme="minorHAnsi"/>
                <w:szCs w:val="24"/>
              </w:rPr>
              <w:lastRenderedPageBreak/>
              <w:t>data contained</w:t>
            </w:r>
            <w:r w:rsidRPr="002813D1">
              <w:rPr>
                <w:rFonts w:eastAsia="標楷體" w:cstheme="minorHAnsi"/>
                <w:szCs w:val="24"/>
              </w:rPr>
              <w:t xml:space="preserve"> in scientific journals, government research reports and studies, an</w:t>
            </w:r>
            <w:r>
              <w:rPr>
                <w:rFonts w:eastAsia="標楷體" w:cstheme="minorHAnsi"/>
                <w:szCs w:val="24"/>
              </w:rPr>
              <w:t>d regulatory authority research</w:t>
            </w:r>
            <w:r w:rsidRPr="002813D1">
              <w:rPr>
                <w:rFonts w:eastAsia="標楷體" w:cstheme="minorHAnsi"/>
                <w:szCs w:val="24"/>
              </w:rPr>
              <w:t xml:space="preserve"> and assessment reports. In general, studies in the scientific literat</w:t>
            </w:r>
            <w:r>
              <w:rPr>
                <w:rFonts w:eastAsia="標楷體" w:cstheme="minorHAnsi"/>
                <w:szCs w:val="24"/>
              </w:rPr>
              <w:t>ure simply report disappearance</w:t>
            </w:r>
            <w:r w:rsidRPr="002813D1">
              <w:rPr>
                <w:rFonts w:eastAsia="標楷體" w:cstheme="minorHAnsi"/>
                <w:szCs w:val="24"/>
              </w:rPr>
              <w:t xml:space="preserve"> of EI from the cutaneous layer rather than transcutaneous absorption. Quan</w:t>
            </w:r>
            <w:r>
              <w:rPr>
                <w:rFonts w:eastAsia="標楷體" w:cstheme="minorHAnsi"/>
                <w:szCs w:val="24"/>
              </w:rPr>
              <w:t>titative data are</w:t>
            </w:r>
            <w:r w:rsidRPr="002813D1">
              <w:rPr>
                <w:rFonts w:eastAsia="標楷體" w:cstheme="minorHAnsi"/>
                <w:szCs w:val="24"/>
              </w:rPr>
              <w:t xml:space="preserve"> generally lacking for most EI and the associated counterion (Host</w:t>
            </w:r>
            <w:r>
              <w:rPr>
                <w:rFonts w:eastAsia="標楷體" w:cstheme="minorHAnsi"/>
                <w:szCs w:val="24"/>
              </w:rPr>
              <w:t>ynek, 2003). Furthermore, there</w:t>
            </w:r>
            <w:r w:rsidRPr="002813D1">
              <w:rPr>
                <w:rFonts w:eastAsia="標楷體" w:cstheme="minorHAnsi"/>
                <w:szCs w:val="24"/>
              </w:rPr>
              <w:t xml:space="preserve"> are no suitable standards for occupational exposure for the de</w:t>
            </w:r>
            <w:r>
              <w:rPr>
                <w:rFonts w:eastAsia="標楷體" w:cstheme="minorHAnsi"/>
                <w:szCs w:val="24"/>
              </w:rPr>
              <w:t>rmal route for risk assessment.</w:t>
            </w:r>
            <w:r w:rsidRPr="002813D1">
              <w:rPr>
                <w:rFonts w:eastAsia="標楷體" w:cstheme="minorHAnsi"/>
                <w:szCs w:val="24"/>
              </w:rPr>
              <w:t xml:space="preserve"> Consequently, a generic approach was adopted to establish limit</w:t>
            </w:r>
            <w:r>
              <w:rPr>
                <w:rFonts w:eastAsia="標楷體" w:cstheme="minorHAnsi"/>
                <w:szCs w:val="24"/>
              </w:rPr>
              <w:t>s as opposed to an element-by</w:t>
            </w:r>
            <w:r w:rsidR="00CB7CBF">
              <w:rPr>
                <w:rFonts w:eastAsia="標楷體" w:cstheme="minorHAnsi"/>
                <w:szCs w:val="24"/>
              </w:rPr>
              <w:t>-</w:t>
            </w:r>
            <w:r w:rsidRPr="002813D1">
              <w:rPr>
                <w:rFonts w:eastAsia="標楷體" w:cstheme="minorHAnsi"/>
                <w:szCs w:val="24"/>
              </w:rPr>
              <w:t>element basis.</w:t>
            </w:r>
          </w:p>
        </w:tc>
        <w:tc>
          <w:tcPr>
            <w:tcW w:w="970" w:type="pct"/>
          </w:tcPr>
          <w:p w:rsidR="002813D1" w:rsidRPr="00B55920" w:rsidRDefault="002813D1" w:rsidP="00525292">
            <w:pPr>
              <w:snapToGrid w:val="0"/>
              <w:spacing w:beforeLines="50" w:before="180" w:afterLines="50" w:after="180" w:line="0" w:lineRule="atLeast"/>
              <w:contextualSpacing/>
              <w:rPr>
                <w:rFonts w:eastAsia="標楷體" w:cstheme="minorHAnsi"/>
                <w:szCs w:val="24"/>
              </w:rPr>
            </w:pPr>
          </w:p>
        </w:tc>
      </w:tr>
      <w:tr w:rsidR="00693F40" w:rsidRPr="00B55920" w:rsidTr="005C140E">
        <w:trPr>
          <w:trHeight w:val="20"/>
        </w:trPr>
        <w:tc>
          <w:tcPr>
            <w:tcW w:w="262" w:type="pct"/>
          </w:tcPr>
          <w:p w:rsidR="00693F40" w:rsidRPr="00FE5D79" w:rsidRDefault="00241B16" w:rsidP="00525292">
            <w:pPr>
              <w:snapToGrid w:val="0"/>
              <w:spacing w:beforeLines="50" w:before="180" w:afterLines="50" w:after="180" w:line="0" w:lineRule="atLeast"/>
              <w:contextualSpacing/>
              <w:jc w:val="center"/>
              <w:rPr>
                <w:rFonts w:eastAsia="標楷體" w:cstheme="minorHAnsi"/>
                <w:b/>
                <w:szCs w:val="24"/>
              </w:rPr>
            </w:pPr>
            <w:r w:rsidRPr="00FE5D79">
              <w:rPr>
                <w:rFonts w:eastAsia="標楷體" w:cstheme="minorHAnsi" w:hint="eastAsia"/>
                <w:b/>
                <w:szCs w:val="24"/>
              </w:rPr>
              <w:lastRenderedPageBreak/>
              <w:t>2</w:t>
            </w:r>
          </w:p>
        </w:tc>
        <w:tc>
          <w:tcPr>
            <w:tcW w:w="1089" w:type="pct"/>
          </w:tcPr>
          <w:p w:rsidR="00693F40" w:rsidRPr="00FE5D79" w:rsidRDefault="00241B16" w:rsidP="00525292">
            <w:pPr>
              <w:snapToGrid w:val="0"/>
              <w:spacing w:beforeLines="50" w:before="180" w:afterLines="50" w:after="180" w:line="0" w:lineRule="atLeast"/>
              <w:contextualSpacing/>
              <w:rPr>
                <w:rFonts w:eastAsia="標楷體" w:cstheme="minorHAnsi"/>
                <w:b/>
                <w:szCs w:val="24"/>
              </w:rPr>
            </w:pPr>
            <w:r w:rsidRPr="00FE5D79">
              <w:rPr>
                <w:rFonts w:eastAsia="標楷體" w:cstheme="minorHAnsi"/>
                <w:b/>
                <w:szCs w:val="24"/>
              </w:rPr>
              <w:t>SCOPE</w:t>
            </w:r>
          </w:p>
        </w:tc>
        <w:tc>
          <w:tcPr>
            <w:tcW w:w="2679" w:type="pct"/>
          </w:tcPr>
          <w:p w:rsidR="00693F40" w:rsidRDefault="00241B16" w:rsidP="00F76EE4">
            <w:pPr>
              <w:pStyle w:val="Default"/>
              <w:spacing w:afterLines="50" w:after="180" w:line="0" w:lineRule="atLeast"/>
              <w:jc w:val="both"/>
              <w:rPr>
                <w:rFonts w:asciiTheme="minorHAnsi" w:hAnsiTheme="minorHAnsi" w:cstheme="minorHAnsi"/>
              </w:rPr>
            </w:pPr>
            <w:r w:rsidRPr="00241B16">
              <w:rPr>
                <w:rFonts w:asciiTheme="minorHAnsi" w:hAnsiTheme="minorHAnsi" w:cstheme="minorHAnsi"/>
              </w:rPr>
              <w:t>This Appendix to Q3D applies to cutaneous and transcutaneou</w:t>
            </w:r>
            <w:r>
              <w:rPr>
                <w:rFonts w:asciiTheme="minorHAnsi" w:hAnsiTheme="minorHAnsi" w:cstheme="minorHAnsi"/>
              </w:rPr>
              <w:t>s drug products (referred to as</w:t>
            </w:r>
            <w:r w:rsidRPr="00241B16">
              <w:rPr>
                <w:rFonts w:asciiTheme="minorHAnsi" w:hAnsiTheme="minorHAnsi" w:cstheme="minorHAnsi"/>
              </w:rPr>
              <w:t xml:space="preserve"> “cutaneous products” throughout this Appendix) whether intended for local or systemic effect.</w:t>
            </w:r>
          </w:p>
          <w:p w:rsidR="00A81A3E" w:rsidRPr="00B55920" w:rsidRDefault="00A81A3E" w:rsidP="00F76EE4">
            <w:pPr>
              <w:pStyle w:val="Default"/>
              <w:spacing w:afterLines="50" w:after="180" w:line="0" w:lineRule="atLeast"/>
              <w:jc w:val="both"/>
              <w:rPr>
                <w:rFonts w:asciiTheme="minorHAnsi" w:hAnsiTheme="minorHAnsi" w:cstheme="minorHAnsi"/>
              </w:rPr>
            </w:pPr>
            <w:r w:rsidRPr="00A81A3E">
              <w:rPr>
                <w:rFonts w:asciiTheme="minorHAnsi" w:hAnsiTheme="minorHAnsi" w:cstheme="minorHAnsi"/>
              </w:rPr>
              <w:t>This Appendix does not apply to drug products intended for mucosal adminis</w:t>
            </w:r>
            <w:r>
              <w:rPr>
                <w:rFonts w:asciiTheme="minorHAnsi" w:hAnsiTheme="minorHAnsi" w:cstheme="minorHAnsi"/>
              </w:rPr>
              <w:t>tration (oral, nasal,</w:t>
            </w:r>
            <w:r>
              <w:rPr>
                <w:rFonts w:asciiTheme="minorHAnsi" w:hAnsiTheme="minorHAnsi" w:cstheme="minorHAnsi" w:hint="eastAsia"/>
              </w:rPr>
              <w:t xml:space="preserve"> </w:t>
            </w:r>
            <w:r w:rsidRPr="00A81A3E">
              <w:rPr>
                <w:rFonts w:asciiTheme="minorHAnsi" w:hAnsiTheme="minorHAnsi" w:cstheme="minorHAnsi"/>
              </w:rPr>
              <w:t>vaginal), topical ophthalmic, rectal, or subcutaneous and subdermal routes of administration.</w:t>
            </w:r>
          </w:p>
        </w:tc>
        <w:tc>
          <w:tcPr>
            <w:tcW w:w="970" w:type="pct"/>
          </w:tcPr>
          <w:p w:rsidR="00693F40" w:rsidRPr="00B55920" w:rsidRDefault="00693F40" w:rsidP="00525292">
            <w:pPr>
              <w:snapToGrid w:val="0"/>
              <w:spacing w:beforeLines="50" w:before="180" w:afterLines="50" w:after="180" w:line="0" w:lineRule="atLeast"/>
              <w:contextualSpacing/>
              <w:rPr>
                <w:rFonts w:eastAsia="標楷體" w:cstheme="minorHAnsi"/>
                <w:szCs w:val="24"/>
              </w:rPr>
            </w:pPr>
          </w:p>
        </w:tc>
      </w:tr>
      <w:tr w:rsidR="00693F40" w:rsidRPr="00B55920" w:rsidTr="00EB6C26">
        <w:tc>
          <w:tcPr>
            <w:tcW w:w="262" w:type="pct"/>
          </w:tcPr>
          <w:p w:rsidR="00693F40" w:rsidRPr="00FE5D79" w:rsidRDefault="00A81A3E" w:rsidP="00525292">
            <w:pPr>
              <w:snapToGrid w:val="0"/>
              <w:spacing w:beforeLines="50" w:before="180" w:afterLines="50" w:after="180" w:line="0" w:lineRule="atLeast"/>
              <w:contextualSpacing/>
              <w:jc w:val="center"/>
              <w:rPr>
                <w:rFonts w:eastAsia="標楷體" w:cstheme="minorHAnsi"/>
                <w:b/>
                <w:szCs w:val="24"/>
              </w:rPr>
            </w:pPr>
            <w:r w:rsidRPr="00FE5D79">
              <w:rPr>
                <w:rFonts w:eastAsia="標楷體" w:cstheme="minorHAnsi" w:hint="eastAsia"/>
                <w:b/>
                <w:szCs w:val="24"/>
              </w:rPr>
              <w:t>3</w:t>
            </w:r>
          </w:p>
        </w:tc>
        <w:tc>
          <w:tcPr>
            <w:tcW w:w="1089" w:type="pct"/>
          </w:tcPr>
          <w:p w:rsidR="00693F40" w:rsidRPr="00FE5D79" w:rsidRDefault="00A81A3E" w:rsidP="00525292">
            <w:pPr>
              <w:snapToGrid w:val="0"/>
              <w:spacing w:beforeLines="50" w:before="180" w:afterLines="50" w:after="180" w:line="0" w:lineRule="atLeast"/>
              <w:contextualSpacing/>
              <w:rPr>
                <w:rFonts w:eastAsia="標楷體" w:cstheme="minorHAnsi"/>
                <w:b/>
                <w:szCs w:val="24"/>
              </w:rPr>
            </w:pPr>
            <w:r w:rsidRPr="00FE5D79">
              <w:rPr>
                <w:rFonts w:eastAsia="標楷體" w:cstheme="minorHAnsi"/>
                <w:b/>
                <w:szCs w:val="24"/>
              </w:rPr>
              <w:t>PRINCIPLES OF SAFETY ASSESSMENT FOR CUTANEOUS PRODUCTS</w:t>
            </w:r>
          </w:p>
        </w:tc>
        <w:tc>
          <w:tcPr>
            <w:tcW w:w="2679" w:type="pct"/>
          </w:tcPr>
          <w:p w:rsidR="00693F40" w:rsidRDefault="00A81A3E" w:rsidP="009C11A0">
            <w:pPr>
              <w:snapToGrid w:val="0"/>
              <w:spacing w:afterLines="50" w:after="180" w:line="0" w:lineRule="atLeast"/>
              <w:jc w:val="both"/>
              <w:rPr>
                <w:rFonts w:eastAsia="標楷體" w:cstheme="minorHAnsi"/>
                <w:szCs w:val="24"/>
              </w:rPr>
            </w:pPr>
            <w:r w:rsidRPr="00A81A3E">
              <w:rPr>
                <w:rFonts w:eastAsia="標楷體" w:cstheme="minorHAnsi"/>
                <w:szCs w:val="24"/>
              </w:rPr>
              <w:t>The literature review focuses on the forms likely to be present in pharmace</w:t>
            </w:r>
            <w:r>
              <w:rPr>
                <w:rFonts w:eastAsia="標楷體" w:cstheme="minorHAnsi"/>
                <w:szCs w:val="24"/>
              </w:rPr>
              <w:t>utical products (see</w:t>
            </w:r>
            <w:r w:rsidRPr="00A81A3E">
              <w:rPr>
                <w:rFonts w:eastAsia="標楷體" w:cstheme="minorHAnsi"/>
                <w:szCs w:val="24"/>
              </w:rPr>
              <w:t xml:space="preserve"> main guideline) and therefore the assessment relied on evaluating t</w:t>
            </w:r>
            <w:r>
              <w:rPr>
                <w:rFonts w:eastAsia="標楷體" w:cstheme="minorHAnsi"/>
                <w:szCs w:val="24"/>
              </w:rPr>
              <w:t>he available data for inorganic</w:t>
            </w:r>
            <w:r w:rsidRPr="00A81A3E">
              <w:rPr>
                <w:rFonts w:eastAsia="標楷體" w:cstheme="minorHAnsi"/>
                <w:szCs w:val="24"/>
              </w:rPr>
              <w:t xml:space="preserve"> forms of the EI and ranking the relevance of the data in the follo</w:t>
            </w:r>
            <w:r>
              <w:rPr>
                <w:rFonts w:eastAsia="標楷體" w:cstheme="minorHAnsi"/>
                <w:szCs w:val="24"/>
              </w:rPr>
              <w:t>wing order: human in vivo data;</w:t>
            </w:r>
            <w:r w:rsidRPr="00A81A3E">
              <w:rPr>
                <w:rFonts w:eastAsia="標楷體" w:cstheme="minorHAnsi"/>
                <w:szCs w:val="24"/>
              </w:rPr>
              <w:t xml:space="preserve"> animal in vivo data; in vitro data.</w:t>
            </w:r>
          </w:p>
          <w:p w:rsidR="00A81A3E" w:rsidRPr="00241B16" w:rsidRDefault="00A81A3E" w:rsidP="009C11A0">
            <w:pPr>
              <w:snapToGrid w:val="0"/>
              <w:spacing w:afterLines="50" w:after="180" w:line="0" w:lineRule="atLeast"/>
              <w:jc w:val="both"/>
              <w:rPr>
                <w:rFonts w:eastAsia="標楷體" w:cstheme="minorHAnsi"/>
                <w:szCs w:val="24"/>
              </w:rPr>
            </w:pPr>
            <w:r w:rsidRPr="00A81A3E">
              <w:rPr>
                <w:rFonts w:eastAsia="標楷體" w:cstheme="minorHAnsi"/>
                <w:szCs w:val="24"/>
              </w:rPr>
              <w:t>Local and systemic toxicities were considered. In general, there is n</w:t>
            </w:r>
            <w:r>
              <w:rPr>
                <w:rFonts w:eastAsia="標楷體" w:cstheme="minorHAnsi"/>
                <w:szCs w:val="24"/>
              </w:rPr>
              <w:t>o indication for local toxicity</w:t>
            </w:r>
            <w:r w:rsidRPr="00A81A3E">
              <w:rPr>
                <w:rFonts w:eastAsia="標楷體" w:cstheme="minorHAnsi"/>
                <w:szCs w:val="24"/>
              </w:rPr>
              <w:t xml:space="preserve"> on the skin, with the exception of sensitization. Review of systemi</w:t>
            </w:r>
            <w:r>
              <w:rPr>
                <w:rFonts w:eastAsia="標楷體" w:cstheme="minorHAnsi"/>
                <w:szCs w:val="24"/>
              </w:rPr>
              <w:t>c toxicity by the dermal route,</w:t>
            </w:r>
            <w:r w:rsidRPr="00A81A3E">
              <w:rPr>
                <w:rFonts w:eastAsia="標楷體" w:cstheme="minorHAnsi"/>
                <w:szCs w:val="24"/>
              </w:rPr>
              <w:t xml:space="preserve"> shows significant systemic toxicity for thallium. Since there is l</w:t>
            </w:r>
            <w:r>
              <w:rPr>
                <w:rFonts w:eastAsia="標楷體" w:cstheme="minorHAnsi"/>
                <w:szCs w:val="24"/>
              </w:rPr>
              <w:t>imited information available on</w:t>
            </w:r>
            <w:r w:rsidRPr="00A81A3E">
              <w:rPr>
                <w:rFonts w:eastAsia="標楷體" w:cstheme="minorHAnsi"/>
                <w:szCs w:val="24"/>
              </w:rPr>
              <w:t xml:space="preserve"> transcutaneous absorption of the elements addressed in this Add</w:t>
            </w:r>
            <w:r>
              <w:rPr>
                <w:rFonts w:eastAsia="標楷體" w:cstheme="minorHAnsi"/>
                <w:szCs w:val="24"/>
              </w:rPr>
              <w:t>endum and it is not possible to</w:t>
            </w:r>
            <w:r w:rsidRPr="00A81A3E">
              <w:rPr>
                <w:rFonts w:eastAsia="標楷體" w:cstheme="minorHAnsi"/>
                <w:szCs w:val="24"/>
              </w:rPr>
              <w:t xml:space="preserve"> address this percent absorption on an element-by-element basi</w:t>
            </w:r>
            <w:r>
              <w:rPr>
                <w:rFonts w:eastAsia="標楷體" w:cstheme="minorHAnsi"/>
                <w:szCs w:val="24"/>
              </w:rPr>
              <w:t>s and to allow conversion of an</w:t>
            </w:r>
            <w:r w:rsidRPr="00A81A3E">
              <w:rPr>
                <w:rFonts w:eastAsia="標楷體" w:cstheme="minorHAnsi"/>
                <w:szCs w:val="24"/>
              </w:rPr>
              <w:t xml:space="preserve"> existing PDE to the dermal route in order to support an element</w:t>
            </w:r>
            <w:r>
              <w:rPr>
                <w:rFonts w:eastAsia="標楷體" w:cstheme="minorHAnsi"/>
                <w:szCs w:val="24"/>
              </w:rPr>
              <w:t>-by-element approach. Therefore</w:t>
            </w:r>
            <w:r w:rsidRPr="00A81A3E">
              <w:rPr>
                <w:rFonts w:eastAsia="標楷體" w:cstheme="minorHAnsi"/>
                <w:szCs w:val="24"/>
              </w:rPr>
              <w:t xml:space="preserve"> a generic approach has been developed based on a systematic ad</w:t>
            </w:r>
            <w:r>
              <w:rPr>
                <w:rFonts w:eastAsia="標楷體" w:cstheme="minorHAnsi"/>
                <w:szCs w:val="24"/>
              </w:rPr>
              <w:t>justment of the parenteral PDE,</w:t>
            </w:r>
            <w:r w:rsidRPr="00A81A3E">
              <w:rPr>
                <w:rFonts w:eastAsia="標楷體" w:cstheme="minorHAnsi"/>
                <w:szCs w:val="24"/>
              </w:rPr>
              <w:t xml:space="preserve"> which assumed 100% bioavailability, to derive a cutaneous PDE</w:t>
            </w:r>
            <w:r>
              <w:rPr>
                <w:rFonts w:eastAsia="標楷體" w:cstheme="minorHAnsi"/>
                <w:szCs w:val="24"/>
              </w:rPr>
              <w:t xml:space="preserve"> by using a Cutaneous Modifying</w:t>
            </w:r>
            <w:r w:rsidRPr="00A81A3E">
              <w:rPr>
                <w:rFonts w:eastAsia="標楷體" w:cstheme="minorHAnsi"/>
                <w:szCs w:val="24"/>
              </w:rPr>
              <w:t xml:space="preserve"> Factor (CMF) (see section 4). The cutaneous PDE has been derived</w:t>
            </w:r>
            <w:r>
              <w:rPr>
                <w:rFonts w:eastAsia="標楷體" w:cstheme="minorHAnsi"/>
                <w:szCs w:val="24"/>
              </w:rPr>
              <w:t xml:space="preserve"> for daily, chronic application</w:t>
            </w:r>
            <w:r w:rsidRPr="00A81A3E">
              <w:rPr>
                <w:rFonts w:eastAsia="標楷體" w:cstheme="minorHAnsi"/>
                <w:szCs w:val="24"/>
              </w:rPr>
              <w:t xml:space="preserve"> to the skin.</w:t>
            </w:r>
          </w:p>
        </w:tc>
        <w:tc>
          <w:tcPr>
            <w:tcW w:w="970" w:type="pct"/>
          </w:tcPr>
          <w:p w:rsidR="00693F40" w:rsidRPr="00B55920" w:rsidRDefault="00693F40" w:rsidP="00525292">
            <w:pPr>
              <w:snapToGrid w:val="0"/>
              <w:spacing w:beforeLines="50" w:before="180" w:afterLines="50" w:after="180" w:line="0" w:lineRule="atLeast"/>
              <w:contextualSpacing/>
              <w:rPr>
                <w:rFonts w:eastAsia="標楷體" w:cstheme="minorHAnsi"/>
                <w:szCs w:val="24"/>
              </w:rPr>
            </w:pPr>
          </w:p>
        </w:tc>
      </w:tr>
      <w:tr w:rsidR="00693F40" w:rsidRPr="00B55920" w:rsidTr="00EB6C26">
        <w:tc>
          <w:tcPr>
            <w:tcW w:w="262" w:type="pct"/>
          </w:tcPr>
          <w:p w:rsidR="00693F40" w:rsidRPr="00FE5D79" w:rsidRDefault="008A6662" w:rsidP="00525292">
            <w:pPr>
              <w:snapToGrid w:val="0"/>
              <w:spacing w:beforeLines="50" w:before="180" w:afterLines="50" w:after="180" w:line="0" w:lineRule="atLeast"/>
              <w:contextualSpacing/>
              <w:jc w:val="center"/>
              <w:rPr>
                <w:rFonts w:eastAsia="標楷體" w:cstheme="minorHAnsi"/>
                <w:b/>
                <w:szCs w:val="24"/>
              </w:rPr>
            </w:pPr>
            <w:r w:rsidRPr="00FE5D79">
              <w:rPr>
                <w:rFonts w:eastAsia="標楷體" w:cstheme="minorHAnsi" w:hint="eastAsia"/>
                <w:b/>
                <w:szCs w:val="24"/>
              </w:rPr>
              <w:t>3.1</w:t>
            </w:r>
          </w:p>
        </w:tc>
        <w:tc>
          <w:tcPr>
            <w:tcW w:w="1089" w:type="pct"/>
          </w:tcPr>
          <w:p w:rsidR="00693F40" w:rsidRPr="00FE5D79" w:rsidRDefault="008A6662" w:rsidP="00525292">
            <w:pPr>
              <w:snapToGrid w:val="0"/>
              <w:spacing w:beforeLines="50" w:before="180" w:afterLines="50" w:after="180" w:line="0" w:lineRule="atLeast"/>
              <w:contextualSpacing/>
              <w:rPr>
                <w:rFonts w:eastAsia="標楷體" w:cstheme="minorHAnsi"/>
                <w:b/>
                <w:szCs w:val="24"/>
              </w:rPr>
            </w:pPr>
            <w:r w:rsidRPr="00FE5D79">
              <w:rPr>
                <w:rFonts w:eastAsia="標楷體" w:cstheme="minorHAnsi"/>
                <w:b/>
                <w:szCs w:val="24"/>
              </w:rPr>
              <w:t>Transcutaneous Absorption of Elemental Impurities (EI)</w:t>
            </w:r>
          </w:p>
        </w:tc>
        <w:tc>
          <w:tcPr>
            <w:tcW w:w="2679" w:type="pct"/>
          </w:tcPr>
          <w:p w:rsidR="00693F40" w:rsidRDefault="008A6662" w:rsidP="009C11A0">
            <w:pPr>
              <w:snapToGrid w:val="0"/>
              <w:spacing w:afterLines="50" w:after="180" w:line="0" w:lineRule="atLeast"/>
              <w:jc w:val="both"/>
              <w:rPr>
                <w:rFonts w:eastAsia="標楷體" w:cstheme="minorHAnsi"/>
                <w:szCs w:val="24"/>
              </w:rPr>
            </w:pPr>
            <w:r w:rsidRPr="008A6662">
              <w:rPr>
                <w:rFonts w:eastAsia="標楷體" w:cstheme="minorHAnsi"/>
                <w:szCs w:val="24"/>
              </w:rPr>
              <w:t>The extent of absorption into the systemic circulation (system</w:t>
            </w:r>
            <w:r>
              <w:rPr>
                <w:rFonts w:eastAsia="標楷體" w:cstheme="minorHAnsi"/>
                <w:szCs w:val="24"/>
              </w:rPr>
              <w:t>ic absorption) is considered an</w:t>
            </w:r>
            <w:r w:rsidRPr="008A6662">
              <w:rPr>
                <w:rFonts w:eastAsia="標楷體" w:cstheme="minorHAnsi"/>
                <w:szCs w:val="24"/>
              </w:rPr>
              <w:t xml:space="preserve"> important component to the safety assessment of the elem</w:t>
            </w:r>
            <w:r>
              <w:rPr>
                <w:rFonts w:eastAsia="標楷體" w:cstheme="minorHAnsi"/>
                <w:szCs w:val="24"/>
              </w:rPr>
              <w:t>ents. Review of studies of skin</w:t>
            </w:r>
            <w:r w:rsidRPr="008A6662">
              <w:rPr>
                <w:rFonts w:eastAsia="標楷體" w:cstheme="minorHAnsi"/>
                <w:szCs w:val="24"/>
              </w:rPr>
              <w:t xml:space="preserve"> penetration, absorption, systemic bioavailability and </w:t>
            </w:r>
            <w:r w:rsidRPr="008A6662">
              <w:rPr>
                <w:rFonts w:eastAsia="標楷體" w:cstheme="minorHAnsi"/>
                <w:szCs w:val="24"/>
              </w:rPr>
              <w:lastRenderedPageBreak/>
              <w:t>toxicity of th</w:t>
            </w:r>
            <w:r>
              <w:rPr>
                <w:rFonts w:eastAsia="標楷體" w:cstheme="minorHAnsi"/>
                <w:szCs w:val="24"/>
              </w:rPr>
              <w:t>e elements shows a lack of data</w:t>
            </w:r>
            <w:r w:rsidRPr="008A6662">
              <w:rPr>
                <w:rFonts w:eastAsia="標楷體" w:cstheme="minorHAnsi"/>
                <w:szCs w:val="24"/>
              </w:rPr>
              <w:t xml:space="preserve"> for many elements. For those elements that have been studied for t</w:t>
            </w:r>
            <w:r>
              <w:rPr>
                <w:rFonts w:eastAsia="標楷體" w:cstheme="minorHAnsi"/>
                <w:szCs w:val="24"/>
              </w:rPr>
              <w:t>ranscutaneous absorption and/or</w:t>
            </w:r>
            <w:r w:rsidRPr="008A6662">
              <w:rPr>
                <w:rFonts w:eastAsia="標楷體" w:cstheme="minorHAnsi"/>
                <w:szCs w:val="24"/>
              </w:rPr>
              <w:t xml:space="preserve"> toxicity, the available data are rarely suitable for proper quanti</w:t>
            </w:r>
            <w:r>
              <w:rPr>
                <w:rFonts w:eastAsia="標楷體" w:cstheme="minorHAnsi"/>
                <w:szCs w:val="24"/>
              </w:rPr>
              <w:t>tative analysis and the diverse</w:t>
            </w:r>
            <w:r w:rsidRPr="008A6662">
              <w:rPr>
                <w:rFonts w:eastAsia="標楷體" w:cstheme="minorHAnsi"/>
                <w:szCs w:val="24"/>
              </w:rPr>
              <w:t xml:space="preserve"> experimental designs preclude inter-study or inter-element comp</w:t>
            </w:r>
            <w:r>
              <w:rPr>
                <w:rFonts w:eastAsia="標楷體" w:cstheme="minorHAnsi"/>
                <w:szCs w:val="24"/>
              </w:rPr>
              <w:t>arability (Hostynek, 2003). The</w:t>
            </w:r>
            <w:r w:rsidRPr="008A6662">
              <w:rPr>
                <w:rFonts w:eastAsia="標楷體" w:cstheme="minorHAnsi"/>
                <w:szCs w:val="24"/>
              </w:rPr>
              <w:t xml:space="preserve"> available data indicate that EIs are generally poorly absorbed </w:t>
            </w:r>
            <w:r>
              <w:rPr>
                <w:rFonts w:eastAsia="標楷體" w:cstheme="minorHAnsi"/>
                <w:szCs w:val="24"/>
              </w:rPr>
              <w:t>through intact skin even in the</w:t>
            </w:r>
            <w:r w:rsidRPr="008A6662">
              <w:rPr>
                <w:rFonts w:eastAsia="標楷體" w:cstheme="minorHAnsi"/>
                <w:szCs w:val="24"/>
              </w:rPr>
              <w:t xml:space="preserve"> presence of enhancers. For example, absorption of Pb from lead oxide und</w:t>
            </w:r>
            <w:r>
              <w:rPr>
                <w:rFonts w:eastAsia="標楷體" w:cstheme="minorHAnsi"/>
                <w:szCs w:val="24"/>
              </w:rPr>
              <w:t>er occlusion in rats was</w:t>
            </w:r>
            <w:r w:rsidRPr="008A6662">
              <w:rPr>
                <w:rFonts w:eastAsia="標楷體" w:cstheme="minorHAnsi"/>
                <w:szCs w:val="24"/>
              </w:rPr>
              <w:t xml:space="preserve"> less than 0.005%, as measured by urinary Pb for 12 days following exposure. Penetration of lead oxide was not detectable in an in vitro system with human skin (ATSDR, 2019).</w:t>
            </w:r>
          </w:p>
          <w:p w:rsidR="008A6662" w:rsidRDefault="008A6662" w:rsidP="009C11A0">
            <w:pPr>
              <w:snapToGrid w:val="0"/>
              <w:spacing w:afterLines="50" w:after="180" w:line="0" w:lineRule="atLeast"/>
              <w:jc w:val="both"/>
              <w:rPr>
                <w:rFonts w:eastAsia="標楷體" w:cstheme="minorHAnsi"/>
                <w:szCs w:val="24"/>
              </w:rPr>
            </w:pPr>
            <w:r w:rsidRPr="008A6662">
              <w:rPr>
                <w:rFonts w:eastAsia="標楷體" w:cstheme="minorHAnsi"/>
                <w:szCs w:val="24"/>
              </w:rPr>
              <w:t>There are numerous factors that may influence transcu</w:t>
            </w:r>
            <w:r>
              <w:rPr>
                <w:rFonts w:eastAsia="標楷體" w:cstheme="minorHAnsi"/>
                <w:szCs w:val="24"/>
              </w:rPr>
              <w:t>taneous absorption and systemic</w:t>
            </w:r>
            <w:r>
              <w:rPr>
                <w:rFonts w:eastAsia="標楷體" w:cstheme="minorHAnsi" w:hint="eastAsia"/>
                <w:szCs w:val="24"/>
              </w:rPr>
              <w:t xml:space="preserve"> </w:t>
            </w:r>
            <w:r w:rsidRPr="008A6662">
              <w:rPr>
                <w:rFonts w:eastAsia="標楷體" w:cstheme="minorHAnsi"/>
                <w:szCs w:val="24"/>
              </w:rPr>
              <w:t>bioavailability after cutaneous administration of a substance. These factors may be categorized as:</w:t>
            </w:r>
          </w:p>
          <w:p w:rsidR="008A6662" w:rsidRDefault="008A6662" w:rsidP="009C11A0">
            <w:pPr>
              <w:pStyle w:val="a8"/>
              <w:numPr>
                <w:ilvl w:val="0"/>
                <w:numId w:val="30"/>
              </w:numPr>
              <w:snapToGrid w:val="0"/>
              <w:spacing w:afterLines="50" w:after="180" w:line="0" w:lineRule="atLeast"/>
              <w:ind w:leftChars="0"/>
              <w:jc w:val="both"/>
              <w:rPr>
                <w:rFonts w:eastAsia="標楷體" w:cstheme="minorHAnsi"/>
                <w:szCs w:val="24"/>
              </w:rPr>
            </w:pPr>
            <w:r w:rsidRPr="008A6662">
              <w:rPr>
                <w:rFonts w:eastAsia="標楷體" w:cstheme="minorHAnsi"/>
                <w:szCs w:val="24"/>
              </w:rPr>
              <w:t>compound-related factors (e.g., physical state, ionization, solubility, binding properties, reactivity, and the counterion of the EI), and/or</w:t>
            </w:r>
          </w:p>
          <w:p w:rsidR="008A6662" w:rsidRPr="008A6662" w:rsidRDefault="008A6662" w:rsidP="009C11A0">
            <w:pPr>
              <w:pStyle w:val="a8"/>
              <w:numPr>
                <w:ilvl w:val="0"/>
                <w:numId w:val="30"/>
              </w:numPr>
              <w:snapToGrid w:val="0"/>
              <w:spacing w:afterLines="50" w:after="180" w:line="0" w:lineRule="atLeast"/>
              <w:ind w:leftChars="0"/>
              <w:jc w:val="both"/>
              <w:rPr>
                <w:rFonts w:eastAsia="標楷體" w:cstheme="minorHAnsi"/>
                <w:szCs w:val="24"/>
              </w:rPr>
            </w:pPr>
            <w:r w:rsidRPr="008A6662">
              <w:rPr>
                <w:rFonts w:eastAsia="標楷體" w:cstheme="minorHAnsi"/>
                <w:szCs w:val="24"/>
              </w:rPr>
              <w:t>application-related factors (e.g., concentration and total dose applied, 290 duration of application/exposure, cleaning between applications, surface area, co-applied materials/excipients and occlusion status),</w:t>
            </w:r>
          </w:p>
          <w:p w:rsidR="008A6662" w:rsidRDefault="008A6662" w:rsidP="009C11A0">
            <w:pPr>
              <w:pStyle w:val="a8"/>
              <w:numPr>
                <w:ilvl w:val="0"/>
                <w:numId w:val="30"/>
              </w:numPr>
              <w:snapToGrid w:val="0"/>
              <w:spacing w:afterLines="50" w:after="180" w:line="0" w:lineRule="atLeast"/>
              <w:ind w:leftChars="0"/>
              <w:jc w:val="both"/>
              <w:rPr>
                <w:rFonts w:eastAsia="標楷體" w:cstheme="minorHAnsi"/>
                <w:szCs w:val="24"/>
              </w:rPr>
            </w:pPr>
            <w:r w:rsidRPr="008A6662">
              <w:rPr>
                <w:rFonts w:eastAsia="標楷體" w:cstheme="minorHAnsi"/>
                <w:szCs w:val="24"/>
              </w:rPr>
              <w:t>subject-related factors (e.g., comparative species differences, location on the body, hydration of the skin/age, temperature).</w:t>
            </w:r>
          </w:p>
          <w:p w:rsidR="008A6662" w:rsidRPr="008A6662" w:rsidRDefault="008A6662" w:rsidP="009C11A0">
            <w:pPr>
              <w:snapToGrid w:val="0"/>
              <w:spacing w:afterLines="50" w:after="180" w:line="0" w:lineRule="atLeast"/>
              <w:jc w:val="both"/>
              <w:rPr>
                <w:rFonts w:eastAsia="標楷體" w:cstheme="minorHAnsi"/>
                <w:szCs w:val="24"/>
              </w:rPr>
            </w:pPr>
            <w:r w:rsidRPr="008A6662">
              <w:rPr>
                <w:rFonts w:eastAsia="標楷體" w:cstheme="minorHAnsi"/>
                <w:szCs w:val="24"/>
              </w:rPr>
              <w:t>Transcutaneous penetration through the skin is element and che</w:t>
            </w:r>
            <w:r>
              <w:rPr>
                <w:rFonts w:eastAsia="標楷體" w:cstheme="minorHAnsi"/>
                <w:szCs w:val="24"/>
              </w:rPr>
              <w:t>mical species-specific and each</w:t>
            </w:r>
            <w:r w:rsidRPr="008A6662">
              <w:rPr>
                <w:rFonts w:eastAsia="標楷體" w:cstheme="minorHAnsi"/>
                <w:szCs w:val="24"/>
              </w:rPr>
              <w:t xml:space="preserve"> element would need to be experimentally assessed under dif</w:t>
            </w:r>
            <w:r>
              <w:rPr>
                <w:rFonts w:eastAsia="標楷體" w:cstheme="minorHAnsi"/>
                <w:szCs w:val="24"/>
              </w:rPr>
              <w:t>ferent conditions to develop an</w:t>
            </w:r>
            <w:r w:rsidRPr="008A6662">
              <w:rPr>
                <w:rFonts w:eastAsia="標楷體" w:cstheme="minorHAnsi"/>
                <w:szCs w:val="24"/>
              </w:rPr>
              <w:t xml:space="preserve"> effective model. Due to this complexity, it is not feasible to addr</w:t>
            </w:r>
            <w:r>
              <w:rPr>
                <w:rFonts w:eastAsia="標楷體" w:cstheme="minorHAnsi"/>
                <w:szCs w:val="24"/>
              </w:rPr>
              <w:t xml:space="preserve">ess every possible scenario for </w:t>
            </w:r>
            <w:r w:rsidRPr="008A6662">
              <w:rPr>
                <w:rFonts w:eastAsia="標楷體" w:cstheme="minorHAnsi"/>
                <w:szCs w:val="24"/>
              </w:rPr>
              <w:t>ach EI in each drug product.</w:t>
            </w:r>
          </w:p>
          <w:p w:rsidR="008A6662" w:rsidRPr="008A6662" w:rsidRDefault="008A6662" w:rsidP="009C11A0">
            <w:pPr>
              <w:snapToGrid w:val="0"/>
              <w:spacing w:afterLines="50" w:after="180" w:line="0" w:lineRule="atLeast"/>
              <w:jc w:val="both"/>
              <w:rPr>
                <w:rFonts w:eastAsia="標楷體" w:cstheme="minorHAnsi"/>
                <w:szCs w:val="24"/>
              </w:rPr>
            </w:pPr>
            <w:r w:rsidRPr="008A6662">
              <w:rPr>
                <w:rFonts w:eastAsia="標楷體" w:cstheme="minorHAnsi"/>
                <w:szCs w:val="24"/>
              </w:rPr>
              <w:t xml:space="preserve">Given the limited amount of data on transcutaneous absorption and </w:t>
            </w:r>
            <w:r>
              <w:rPr>
                <w:rFonts w:eastAsia="標楷體" w:cstheme="minorHAnsi"/>
                <w:szCs w:val="24"/>
              </w:rPr>
              <w:t>toxicity by the cutaneous route</w:t>
            </w:r>
            <w:r w:rsidRPr="008A6662">
              <w:rPr>
                <w:rFonts w:eastAsia="標楷體" w:cstheme="minorHAnsi"/>
                <w:szCs w:val="24"/>
              </w:rPr>
              <w:t xml:space="preserve"> of administration that has been generated in well-designed studies, </w:t>
            </w:r>
            <w:r>
              <w:rPr>
                <w:rFonts w:eastAsia="標楷體" w:cstheme="minorHAnsi"/>
                <w:szCs w:val="24"/>
              </w:rPr>
              <w:t>the available data were used to</w:t>
            </w:r>
            <w:r w:rsidRPr="008A6662">
              <w:rPr>
                <w:rFonts w:eastAsia="標楷體" w:cstheme="minorHAnsi"/>
                <w:szCs w:val="24"/>
              </w:rPr>
              <w:t xml:space="preserve"> develop a generic, conservative approach. The cutaneous PDE is derived </w:t>
            </w:r>
            <w:r>
              <w:rPr>
                <w:rFonts w:eastAsia="標楷體" w:cstheme="minorHAnsi"/>
                <w:szCs w:val="24"/>
              </w:rPr>
              <w:t>from the previously</w:t>
            </w:r>
            <w:r w:rsidRPr="008A6662">
              <w:rPr>
                <w:rFonts w:eastAsia="標楷體" w:cstheme="minorHAnsi"/>
                <w:szCs w:val="24"/>
              </w:rPr>
              <w:t xml:space="preserve"> established element-specific parenteral PDEs for which adequate </w:t>
            </w:r>
            <w:r>
              <w:rPr>
                <w:rFonts w:eastAsia="標楷體" w:cstheme="minorHAnsi"/>
                <w:szCs w:val="24"/>
              </w:rPr>
              <w:t>toxicity data are available. To</w:t>
            </w:r>
            <w:r w:rsidRPr="008A6662">
              <w:rPr>
                <w:rFonts w:eastAsia="標楷體" w:cstheme="minorHAnsi"/>
                <w:szCs w:val="24"/>
              </w:rPr>
              <w:t xml:space="preserve"> address the presumed low but unquantified transcutaneous absorption, and in </w:t>
            </w:r>
            <w:r>
              <w:rPr>
                <w:rFonts w:eastAsia="標楷體" w:cstheme="minorHAnsi"/>
                <w:szCs w:val="24"/>
              </w:rPr>
              <w:t>consideration of all</w:t>
            </w:r>
            <w:r w:rsidRPr="008A6662">
              <w:rPr>
                <w:rFonts w:eastAsia="標楷體" w:cstheme="minorHAnsi"/>
                <w:szCs w:val="24"/>
              </w:rPr>
              <w:t xml:space="preserve"> the potential factors that can influence this absorption, a 10-fol</w:t>
            </w:r>
            <w:r>
              <w:rPr>
                <w:rFonts w:eastAsia="標楷體" w:cstheme="minorHAnsi"/>
                <w:szCs w:val="24"/>
              </w:rPr>
              <w:t>d factor will be applied to the</w:t>
            </w:r>
            <w:r w:rsidRPr="008A6662">
              <w:rPr>
                <w:rFonts w:eastAsia="標楷體" w:cstheme="minorHAnsi"/>
                <w:szCs w:val="24"/>
              </w:rPr>
              <w:t xml:space="preserve"> parenteral PDE for most EIs. The derivation and application of t</w:t>
            </w:r>
            <w:r>
              <w:rPr>
                <w:rFonts w:eastAsia="標楷體" w:cstheme="minorHAnsi"/>
                <w:szCs w:val="24"/>
              </w:rPr>
              <w:t xml:space="preserve">he </w:t>
            </w:r>
            <w:r>
              <w:rPr>
                <w:rFonts w:eastAsia="標楷體" w:cstheme="minorHAnsi"/>
                <w:szCs w:val="24"/>
              </w:rPr>
              <w:lastRenderedPageBreak/>
              <w:t>factor of 10 is described in</w:t>
            </w:r>
            <w:r w:rsidRPr="008A6662">
              <w:rPr>
                <w:rFonts w:eastAsia="標楷體" w:cstheme="minorHAnsi"/>
                <w:szCs w:val="24"/>
              </w:rPr>
              <w:t xml:space="preserve"> more detail in section 4 below.</w:t>
            </w:r>
          </w:p>
        </w:tc>
        <w:tc>
          <w:tcPr>
            <w:tcW w:w="970" w:type="pct"/>
          </w:tcPr>
          <w:p w:rsidR="00693F40" w:rsidRPr="00B55920" w:rsidRDefault="00693F40" w:rsidP="00525292">
            <w:pPr>
              <w:snapToGrid w:val="0"/>
              <w:spacing w:beforeLines="50" w:before="180" w:afterLines="50" w:after="180" w:line="0" w:lineRule="atLeast"/>
              <w:contextualSpacing/>
              <w:rPr>
                <w:rFonts w:eastAsia="標楷體" w:cstheme="minorHAnsi"/>
                <w:szCs w:val="24"/>
              </w:rPr>
            </w:pPr>
          </w:p>
        </w:tc>
      </w:tr>
      <w:tr w:rsidR="00693F40" w:rsidRPr="00B55920" w:rsidTr="00EB6C26">
        <w:tc>
          <w:tcPr>
            <w:tcW w:w="262" w:type="pct"/>
          </w:tcPr>
          <w:p w:rsidR="00693F40" w:rsidRPr="00FE5D79" w:rsidRDefault="0026331E" w:rsidP="00525292">
            <w:pPr>
              <w:snapToGrid w:val="0"/>
              <w:spacing w:beforeLines="50" w:before="180" w:afterLines="50" w:after="180" w:line="0" w:lineRule="atLeast"/>
              <w:contextualSpacing/>
              <w:jc w:val="center"/>
              <w:rPr>
                <w:rFonts w:eastAsia="標楷體" w:cstheme="minorHAnsi"/>
                <w:b/>
                <w:szCs w:val="24"/>
              </w:rPr>
            </w:pPr>
            <w:r w:rsidRPr="00FE5D79">
              <w:rPr>
                <w:rFonts w:eastAsia="標楷體" w:cstheme="minorHAnsi"/>
                <w:b/>
                <w:szCs w:val="24"/>
              </w:rPr>
              <w:lastRenderedPageBreak/>
              <w:t>3.2</w:t>
            </w:r>
          </w:p>
        </w:tc>
        <w:tc>
          <w:tcPr>
            <w:tcW w:w="1089" w:type="pct"/>
          </w:tcPr>
          <w:p w:rsidR="00693F40" w:rsidRPr="00FE5D79" w:rsidRDefault="0026331E" w:rsidP="00525292">
            <w:pPr>
              <w:snapToGrid w:val="0"/>
              <w:spacing w:beforeLines="50" w:before="180" w:afterLines="50" w:after="180" w:line="0" w:lineRule="atLeast"/>
              <w:contextualSpacing/>
              <w:rPr>
                <w:rFonts w:eastAsia="標楷體" w:cstheme="minorHAnsi"/>
                <w:b/>
                <w:szCs w:val="24"/>
              </w:rPr>
            </w:pPr>
            <w:r w:rsidRPr="00FE5D79">
              <w:rPr>
                <w:rFonts w:eastAsia="標楷體" w:cstheme="minorHAnsi"/>
                <w:b/>
                <w:szCs w:val="24"/>
              </w:rPr>
              <w:t>PDE for Drug Products Directly Applied to the Dermis</w:t>
            </w:r>
          </w:p>
        </w:tc>
        <w:tc>
          <w:tcPr>
            <w:tcW w:w="2679" w:type="pct"/>
          </w:tcPr>
          <w:p w:rsidR="0026331E" w:rsidRPr="0026331E" w:rsidRDefault="0026331E" w:rsidP="009C11A0">
            <w:pPr>
              <w:snapToGrid w:val="0"/>
              <w:spacing w:afterLines="50" w:after="180" w:line="0" w:lineRule="atLeast"/>
              <w:jc w:val="both"/>
              <w:rPr>
                <w:rFonts w:eastAsia="標楷體" w:cstheme="minorHAnsi"/>
                <w:szCs w:val="24"/>
              </w:rPr>
            </w:pPr>
            <w:r w:rsidRPr="0026331E">
              <w:rPr>
                <w:rFonts w:eastAsia="標楷體" w:cstheme="minorHAnsi"/>
                <w:szCs w:val="24"/>
              </w:rPr>
              <w:t>A compromised basal cell layer could facilitate direct entry of EIs int</w:t>
            </w:r>
            <w:r>
              <w:rPr>
                <w:rFonts w:eastAsia="標楷體" w:cstheme="minorHAnsi"/>
                <w:szCs w:val="24"/>
              </w:rPr>
              <w:t>o the dermis and its associated</w:t>
            </w:r>
            <w:r>
              <w:rPr>
                <w:rFonts w:eastAsia="標楷體" w:cstheme="minorHAnsi" w:hint="eastAsia"/>
                <w:szCs w:val="24"/>
              </w:rPr>
              <w:t xml:space="preserve"> </w:t>
            </w:r>
            <w:r w:rsidRPr="0026331E">
              <w:rPr>
                <w:rFonts w:eastAsia="標楷體" w:cstheme="minorHAnsi"/>
                <w:szCs w:val="24"/>
              </w:rPr>
              <w:t>blood vessels (potentially increasing systemic absorption). The</w:t>
            </w:r>
            <w:r>
              <w:rPr>
                <w:rFonts w:eastAsia="標楷體" w:cstheme="minorHAnsi"/>
                <w:szCs w:val="24"/>
              </w:rPr>
              <w:t>refore, the generic PDE for the</w:t>
            </w:r>
            <w:r>
              <w:rPr>
                <w:rFonts w:eastAsia="標楷體" w:cstheme="minorHAnsi" w:hint="eastAsia"/>
                <w:szCs w:val="24"/>
              </w:rPr>
              <w:t xml:space="preserve"> </w:t>
            </w:r>
            <w:r w:rsidRPr="0026331E">
              <w:rPr>
                <w:rFonts w:eastAsia="標楷體" w:cstheme="minorHAnsi"/>
                <w:szCs w:val="24"/>
              </w:rPr>
              <w:t xml:space="preserve">cutaneous route described in this Addendum should not be applied to drug </w:t>
            </w:r>
            <w:r>
              <w:rPr>
                <w:rFonts w:eastAsia="標楷體" w:cstheme="minorHAnsi"/>
                <w:szCs w:val="24"/>
              </w:rPr>
              <w:t>products intended to</w:t>
            </w:r>
            <w:r w:rsidRPr="0026331E">
              <w:rPr>
                <w:rFonts w:eastAsia="標楷體" w:cstheme="minorHAnsi"/>
                <w:szCs w:val="24"/>
              </w:rPr>
              <w:t xml:space="preserve"> treat skin with substantial disruption of the basal cell layer of th</w:t>
            </w:r>
            <w:r>
              <w:rPr>
                <w:rFonts w:eastAsia="標楷體" w:cstheme="minorHAnsi"/>
                <w:szCs w:val="24"/>
              </w:rPr>
              <w:t>e epidermis. For indications in</w:t>
            </w:r>
            <w:r>
              <w:rPr>
                <w:rFonts w:eastAsia="標楷體" w:cstheme="minorHAnsi" w:hint="eastAsia"/>
                <w:szCs w:val="24"/>
              </w:rPr>
              <w:t xml:space="preserve"> </w:t>
            </w:r>
            <w:r w:rsidRPr="0026331E">
              <w:rPr>
                <w:rFonts w:eastAsia="標楷體" w:cstheme="minorHAnsi"/>
                <w:szCs w:val="24"/>
              </w:rPr>
              <w:t>which drug is intentionally brought into contact with the dermis</w:t>
            </w:r>
            <w:r>
              <w:rPr>
                <w:rFonts w:eastAsia="標楷體" w:cstheme="minorHAnsi"/>
                <w:szCs w:val="24"/>
              </w:rPr>
              <w:t xml:space="preserve"> (e.g. skin ulcers, second- and</w:t>
            </w:r>
            <w:r>
              <w:rPr>
                <w:rFonts w:eastAsia="標楷體" w:cstheme="minorHAnsi" w:hint="eastAsia"/>
                <w:szCs w:val="24"/>
              </w:rPr>
              <w:t xml:space="preserve"> </w:t>
            </w:r>
            <w:r w:rsidRPr="0026331E">
              <w:rPr>
                <w:rFonts w:eastAsia="標楷體" w:cstheme="minorHAnsi"/>
                <w:szCs w:val="24"/>
              </w:rPr>
              <w:t>third-degree burns, pemphigus, epidermolysis bullosa) it is r</w:t>
            </w:r>
            <w:r>
              <w:rPr>
                <w:rFonts w:eastAsia="標楷體" w:cstheme="minorHAnsi"/>
                <w:szCs w:val="24"/>
              </w:rPr>
              <w:t>ecommended to develop a case</w:t>
            </w:r>
            <w:r>
              <w:rPr>
                <w:rFonts w:eastAsia="標楷體" w:cstheme="minorHAnsi" w:hint="eastAsia"/>
                <w:szCs w:val="24"/>
              </w:rPr>
              <w:t xml:space="preserve"> </w:t>
            </w:r>
            <w:r w:rsidRPr="0026331E">
              <w:rPr>
                <w:rFonts w:eastAsia="標楷體" w:cstheme="minorHAnsi"/>
                <w:szCs w:val="24"/>
              </w:rPr>
              <w:t>specific justification based on principles outlined in ICH Q3D sec</w:t>
            </w:r>
            <w:r>
              <w:rPr>
                <w:rFonts w:eastAsia="標楷體" w:cstheme="minorHAnsi"/>
                <w:szCs w:val="24"/>
              </w:rPr>
              <w:t>tion 3.3. The parenteral PDE is</w:t>
            </w:r>
            <w:r>
              <w:rPr>
                <w:rFonts w:eastAsia="標楷體" w:cstheme="minorHAnsi" w:hint="eastAsia"/>
                <w:szCs w:val="24"/>
              </w:rPr>
              <w:t xml:space="preserve"> </w:t>
            </w:r>
            <w:r w:rsidRPr="0026331E">
              <w:rPr>
                <w:rFonts w:eastAsia="標楷體" w:cstheme="minorHAnsi"/>
                <w:szCs w:val="24"/>
              </w:rPr>
              <w:t>generally an appropriate starting point for these drug products.</w:t>
            </w:r>
          </w:p>
          <w:p w:rsidR="00693F40" w:rsidRPr="00B55920" w:rsidRDefault="0026331E" w:rsidP="009C11A0">
            <w:pPr>
              <w:snapToGrid w:val="0"/>
              <w:spacing w:afterLines="50" w:after="180" w:line="0" w:lineRule="atLeast"/>
              <w:jc w:val="both"/>
              <w:rPr>
                <w:rFonts w:eastAsia="標楷體" w:cstheme="minorHAnsi"/>
                <w:szCs w:val="24"/>
              </w:rPr>
            </w:pPr>
            <w:r w:rsidRPr="0026331E">
              <w:rPr>
                <w:rFonts w:eastAsia="標楷體" w:cstheme="minorHAnsi"/>
                <w:szCs w:val="24"/>
              </w:rPr>
              <w:t>Small cuts, needle pricks, skin abrasions and other quick heal</w:t>
            </w:r>
            <w:r>
              <w:rPr>
                <w:rFonts w:eastAsia="標楷體" w:cstheme="minorHAnsi"/>
                <w:szCs w:val="24"/>
              </w:rPr>
              <w:t>ing daily skin injuries are not a</w:t>
            </w:r>
            <w:r w:rsidRPr="0026331E">
              <w:rPr>
                <w:rFonts w:eastAsia="標楷體" w:cstheme="minorHAnsi"/>
                <w:szCs w:val="24"/>
              </w:rPr>
              <w:t>ssociated with substantial basal cell layer disruption of the epidermis as defined above. The total</w:t>
            </w:r>
            <w:r>
              <w:rPr>
                <w:rFonts w:eastAsia="標楷體" w:cstheme="minorHAnsi" w:hint="eastAsia"/>
                <w:szCs w:val="24"/>
              </w:rPr>
              <w:t xml:space="preserve"> </w:t>
            </w:r>
            <w:r w:rsidRPr="0026331E">
              <w:rPr>
                <w:rFonts w:eastAsia="標楷體" w:cstheme="minorHAnsi"/>
                <w:szCs w:val="24"/>
              </w:rPr>
              <w:t>amount of drug product which can potentially come into conta</w:t>
            </w:r>
            <w:r>
              <w:rPr>
                <w:rFonts w:eastAsia="標楷體" w:cstheme="minorHAnsi"/>
                <w:szCs w:val="24"/>
              </w:rPr>
              <w:t>ct with the dermis is therefore</w:t>
            </w:r>
            <w:r>
              <w:rPr>
                <w:rFonts w:eastAsia="標楷體" w:cstheme="minorHAnsi" w:hint="eastAsia"/>
                <w:szCs w:val="24"/>
              </w:rPr>
              <w:t xml:space="preserve"> </w:t>
            </w:r>
            <w:r w:rsidRPr="0026331E">
              <w:rPr>
                <w:rFonts w:eastAsia="標楷體" w:cstheme="minorHAnsi"/>
                <w:szCs w:val="24"/>
              </w:rPr>
              <w:t>considered negligible. Therefore, cutaneous PDEs will apply to p</w:t>
            </w:r>
            <w:r>
              <w:rPr>
                <w:rFonts w:eastAsia="標楷體" w:cstheme="minorHAnsi"/>
                <w:szCs w:val="24"/>
              </w:rPr>
              <w:t>roducts intended to treat these</w:t>
            </w:r>
            <w:r>
              <w:rPr>
                <w:rFonts w:eastAsia="標楷體" w:cstheme="minorHAnsi" w:hint="eastAsia"/>
                <w:szCs w:val="24"/>
              </w:rPr>
              <w:t xml:space="preserve"> </w:t>
            </w:r>
            <w:r w:rsidRPr="0026331E">
              <w:rPr>
                <w:rFonts w:eastAsia="標楷體" w:cstheme="minorHAnsi"/>
                <w:szCs w:val="24"/>
              </w:rPr>
              <w:t>skin abrasions or other quick healing acute injuries.</w:t>
            </w:r>
          </w:p>
        </w:tc>
        <w:tc>
          <w:tcPr>
            <w:tcW w:w="970" w:type="pct"/>
          </w:tcPr>
          <w:p w:rsidR="00693F40" w:rsidRPr="00B55920" w:rsidRDefault="00693F40" w:rsidP="00525292">
            <w:pPr>
              <w:snapToGrid w:val="0"/>
              <w:spacing w:beforeLines="50" w:before="180" w:afterLines="50" w:after="180" w:line="0" w:lineRule="atLeast"/>
              <w:contextualSpacing/>
              <w:rPr>
                <w:rFonts w:eastAsia="標楷體" w:cstheme="minorHAnsi"/>
                <w:szCs w:val="24"/>
              </w:rPr>
            </w:pPr>
          </w:p>
        </w:tc>
      </w:tr>
      <w:tr w:rsidR="00693F40" w:rsidRPr="00B55920" w:rsidTr="00EB6C26">
        <w:tc>
          <w:tcPr>
            <w:tcW w:w="262" w:type="pct"/>
          </w:tcPr>
          <w:p w:rsidR="00693F40" w:rsidRPr="00FE5D79" w:rsidRDefault="0026331E" w:rsidP="00525292">
            <w:pPr>
              <w:snapToGrid w:val="0"/>
              <w:spacing w:beforeLines="50" w:before="180" w:afterLines="50" w:after="180" w:line="0" w:lineRule="atLeast"/>
              <w:contextualSpacing/>
              <w:jc w:val="center"/>
              <w:rPr>
                <w:rFonts w:eastAsia="標楷體" w:cstheme="minorHAnsi"/>
                <w:b/>
                <w:szCs w:val="24"/>
              </w:rPr>
            </w:pPr>
            <w:r w:rsidRPr="00FE5D79">
              <w:rPr>
                <w:rFonts w:eastAsia="標楷體" w:cstheme="minorHAnsi" w:hint="eastAsia"/>
                <w:b/>
                <w:szCs w:val="24"/>
              </w:rPr>
              <w:t>4</w:t>
            </w:r>
          </w:p>
        </w:tc>
        <w:tc>
          <w:tcPr>
            <w:tcW w:w="1089" w:type="pct"/>
          </w:tcPr>
          <w:p w:rsidR="00693F40" w:rsidRPr="00FE5D79" w:rsidRDefault="0026331E" w:rsidP="00525292">
            <w:pPr>
              <w:snapToGrid w:val="0"/>
              <w:spacing w:beforeLines="50" w:before="180" w:afterLines="50" w:after="180" w:line="0" w:lineRule="atLeast"/>
              <w:contextualSpacing/>
              <w:rPr>
                <w:rFonts w:eastAsia="標楷體" w:cstheme="minorHAnsi"/>
                <w:b/>
                <w:szCs w:val="24"/>
              </w:rPr>
            </w:pPr>
            <w:r w:rsidRPr="00FE5D79">
              <w:rPr>
                <w:rFonts w:eastAsia="標楷體" w:cstheme="minorHAnsi"/>
                <w:b/>
                <w:szCs w:val="24"/>
              </w:rPr>
              <w:t>ESTABLISHING THE CUTANEOUS PERMITTED DAILY</w:t>
            </w:r>
            <w:r w:rsidRPr="00FE5D79">
              <w:rPr>
                <w:rFonts w:eastAsia="標楷體" w:cstheme="minorHAnsi" w:hint="eastAsia"/>
                <w:b/>
                <w:szCs w:val="24"/>
              </w:rPr>
              <w:t xml:space="preserve"> </w:t>
            </w:r>
            <w:r w:rsidRPr="00FE5D79">
              <w:rPr>
                <w:rFonts w:eastAsia="標楷體" w:cstheme="minorHAnsi"/>
                <w:b/>
                <w:szCs w:val="24"/>
              </w:rPr>
              <w:t>EXPOSURE (PDE)</w:t>
            </w:r>
          </w:p>
        </w:tc>
        <w:tc>
          <w:tcPr>
            <w:tcW w:w="2679" w:type="pct"/>
          </w:tcPr>
          <w:p w:rsidR="00693F40" w:rsidRPr="00B55920" w:rsidRDefault="0026331E" w:rsidP="009C11A0">
            <w:pPr>
              <w:snapToGrid w:val="0"/>
              <w:spacing w:afterLines="50" w:after="180" w:line="0" w:lineRule="atLeast"/>
              <w:jc w:val="both"/>
              <w:rPr>
                <w:rFonts w:eastAsia="標楷體" w:cstheme="minorHAnsi"/>
                <w:szCs w:val="24"/>
              </w:rPr>
            </w:pPr>
            <w:r w:rsidRPr="0026331E">
              <w:rPr>
                <w:rFonts w:eastAsia="標楷體" w:cstheme="minorHAnsi"/>
                <w:szCs w:val="24"/>
              </w:rPr>
              <w:t>The cutaneous PDE for all relevant EIs is calculated by applyi</w:t>
            </w:r>
            <w:r>
              <w:rPr>
                <w:rFonts w:eastAsia="標楷體" w:cstheme="minorHAnsi"/>
                <w:szCs w:val="24"/>
              </w:rPr>
              <w:t>ng a cutaneous modifying factor</w:t>
            </w:r>
            <w:r w:rsidRPr="0026331E">
              <w:rPr>
                <w:rFonts w:eastAsia="標楷體" w:cstheme="minorHAnsi"/>
                <w:szCs w:val="24"/>
              </w:rPr>
              <w:t xml:space="preserve"> (CMF) to the parenteral PDE for each EI.</w:t>
            </w:r>
          </w:p>
        </w:tc>
        <w:tc>
          <w:tcPr>
            <w:tcW w:w="970" w:type="pct"/>
          </w:tcPr>
          <w:p w:rsidR="00693F40" w:rsidRPr="00B55920" w:rsidRDefault="00693F40" w:rsidP="00525292">
            <w:pPr>
              <w:snapToGrid w:val="0"/>
              <w:spacing w:beforeLines="50" w:before="180" w:afterLines="50" w:after="180" w:line="0" w:lineRule="atLeast"/>
              <w:contextualSpacing/>
              <w:rPr>
                <w:rFonts w:eastAsia="標楷體" w:cstheme="minorHAnsi"/>
                <w:szCs w:val="24"/>
              </w:rPr>
            </w:pPr>
          </w:p>
        </w:tc>
      </w:tr>
      <w:tr w:rsidR="00693F40" w:rsidRPr="00B55920" w:rsidTr="00EB6C26">
        <w:tc>
          <w:tcPr>
            <w:tcW w:w="262" w:type="pct"/>
          </w:tcPr>
          <w:p w:rsidR="00693F40" w:rsidRPr="00FE5D79" w:rsidRDefault="0026331E" w:rsidP="00525292">
            <w:pPr>
              <w:snapToGrid w:val="0"/>
              <w:spacing w:beforeLines="50" w:before="180" w:afterLines="50" w:after="180" w:line="0" w:lineRule="atLeast"/>
              <w:contextualSpacing/>
              <w:jc w:val="center"/>
              <w:rPr>
                <w:rFonts w:eastAsia="標楷體" w:cstheme="minorHAnsi"/>
                <w:b/>
                <w:szCs w:val="24"/>
              </w:rPr>
            </w:pPr>
            <w:r w:rsidRPr="00FE5D79">
              <w:rPr>
                <w:rFonts w:eastAsia="標楷體" w:cstheme="minorHAnsi" w:hint="eastAsia"/>
                <w:b/>
                <w:szCs w:val="24"/>
              </w:rPr>
              <w:t>4.1</w:t>
            </w:r>
          </w:p>
        </w:tc>
        <w:tc>
          <w:tcPr>
            <w:tcW w:w="1089" w:type="pct"/>
          </w:tcPr>
          <w:p w:rsidR="00693F40" w:rsidRPr="00FE5D79" w:rsidRDefault="0026331E" w:rsidP="00525292">
            <w:pPr>
              <w:snapToGrid w:val="0"/>
              <w:spacing w:beforeLines="50" w:before="180" w:afterLines="50" w:after="180" w:line="0" w:lineRule="atLeast"/>
              <w:contextualSpacing/>
              <w:rPr>
                <w:rFonts w:eastAsia="標楷體" w:cstheme="minorHAnsi"/>
                <w:b/>
                <w:szCs w:val="24"/>
              </w:rPr>
            </w:pPr>
            <w:r w:rsidRPr="00FE5D79">
              <w:rPr>
                <w:rFonts w:eastAsia="標楷體" w:cstheme="minorHAnsi"/>
                <w:b/>
                <w:szCs w:val="24"/>
              </w:rPr>
              <w:t>Establishing the Cutaneous Modifying Factor (CMF)</w:t>
            </w:r>
          </w:p>
        </w:tc>
        <w:tc>
          <w:tcPr>
            <w:tcW w:w="2679" w:type="pct"/>
          </w:tcPr>
          <w:p w:rsidR="00693F40" w:rsidRDefault="008A3200" w:rsidP="009C11A0">
            <w:pPr>
              <w:snapToGrid w:val="0"/>
              <w:spacing w:afterLines="50" w:after="180" w:line="0" w:lineRule="atLeast"/>
              <w:jc w:val="both"/>
              <w:rPr>
                <w:rFonts w:eastAsia="標楷體" w:cstheme="minorHAnsi"/>
                <w:szCs w:val="24"/>
              </w:rPr>
            </w:pPr>
            <w:r w:rsidRPr="008A3200">
              <w:rPr>
                <w:rFonts w:eastAsia="標楷體" w:cstheme="minorHAnsi"/>
                <w:szCs w:val="24"/>
              </w:rPr>
              <w:t xml:space="preserve">The limited available data suggest that transcutaneous absorption of </w:t>
            </w:r>
            <w:r>
              <w:rPr>
                <w:rFonts w:eastAsia="標楷體" w:cstheme="minorHAnsi"/>
                <w:szCs w:val="24"/>
              </w:rPr>
              <w:t>most EI, when studied in intact</w:t>
            </w:r>
            <w:r>
              <w:rPr>
                <w:rFonts w:eastAsia="標楷體" w:cstheme="minorHAnsi" w:hint="eastAsia"/>
                <w:szCs w:val="24"/>
              </w:rPr>
              <w:t xml:space="preserve"> </w:t>
            </w:r>
            <w:r w:rsidRPr="008A3200">
              <w:rPr>
                <w:rFonts w:eastAsia="標楷體" w:cstheme="minorHAnsi"/>
                <w:szCs w:val="24"/>
              </w:rPr>
              <w:t xml:space="preserve">skin, is less than 1% as described previously (Section 1 and 3). As </w:t>
            </w:r>
            <w:r>
              <w:rPr>
                <w:rFonts w:eastAsia="標楷體" w:cstheme="minorHAnsi"/>
                <w:szCs w:val="24"/>
              </w:rPr>
              <w:t>described in section 3.1, there</w:t>
            </w:r>
            <w:r w:rsidRPr="008A3200">
              <w:rPr>
                <w:rFonts w:eastAsia="標楷體" w:cstheme="minorHAnsi"/>
                <w:szCs w:val="24"/>
              </w:rPr>
              <w:t xml:space="preserve"> are multiple factors that can influence this absorption. In lieu</w:t>
            </w:r>
            <w:r>
              <w:rPr>
                <w:rFonts w:eastAsia="標楷體" w:cstheme="minorHAnsi"/>
                <w:szCs w:val="24"/>
              </w:rPr>
              <w:t xml:space="preserve"> of accounting for such factors</w:t>
            </w:r>
            <w:r w:rsidRPr="008A3200">
              <w:rPr>
                <w:rFonts w:eastAsia="標楷體" w:cstheme="minorHAnsi"/>
                <w:szCs w:val="24"/>
              </w:rPr>
              <w:t xml:space="preserve"> individually, and in consideration of the relative lack of relia</w:t>
            </w:r>
            <w:r>
              <w:rPr>
                <w:rFonts w:eastAsia="標楷體" w:cstheme="minorHAnsi"/>
                <w:szCs w:val="24"/>
              </w:rPr>
              <w:t>ble quantitative transcutaneous</w:t>
            </w:r>
            <w:r w:rsidRPr="008A3200">
              <w:rPr>
                <w:rFonts w:eastAsia="標楷體" w:cstheme="minorHAnsi"/>
                <w:szCs w:val="24"/>
              </w:rPr>
              <w:t xml:space="preserve"> absorption data, an approach has been adopted for the derivat</w:t>
            </w:r>
            <w:r>
              <w:rPr>
                <w:rFonts w:eastAsia="標楷體" w:cstheme="minorHAnsi"/>
                <w:szCs w:val="24"/>
              </w:rPr>
              <w:t>ion of cutaneous PDEs, which is</w:t>
            </w:r>
            <w:r w:rsidRPr="008A3200">
              <w:rPr>
                <w:rFonts w:eastAsia="標楷體" w:cstheme="minorHAnsi"/>
                <w:szCs w:val="24"/>
              </w:rPr>
              <w:t xml:space="preserve"> considered protective against potential systemic toxicities. To acc</w:t>
            </w:r>
            <w:r>
              <w:rPr>
                <w:rFonts w:eastAsia="標楷體" w:cstheme="minorHAnsi"/>
                <w:szCs w:val="24"/>
              </w:rPr>
              <w:t>ount for these uncertainties, a</w:t>
            </w:r>
            <w:r w:rsidRPr="008A3200">
              <w:rPr>
                <w:rFonts w:eastAsia="標楷體" w:cstheme="minorHAnsi"/>
                <w:szCs w:val="24"/>
              </w:rPr>
              <w:t xml:space="preserve"> CMF is generated using the approach outlined below.</w:t>
            </w:r>
          </w:p>
          <w:p w:rsidR="003F3F35" w:rsidRPr="003F3F35" w:rsidRDefault="003F3F35" w:rsidP="00DE2187">
            <w:pPr>
              <w:pStyle w:val="a8"/>
              <w:numPr>
                <w:ilvl w:val="0"/>
                <w:numId w:val="32"/>
              </w:numPr>
              <w:snapToGrid w:val="0"/>
              <w:spacing w:line="0" w:lineRule="atLeast"/>
              <w:ind w:leftChars="0" w:left="482" w:hanging="482"/>
              <w:jc w:val="both"/>
              <w:rPr>
                <w:rFonts w:eastAsia="標楷體" w:cstheme="minorHAnsi"/>
                <w:szCs w:val="24"/>
              </w:rPr>
            </w:pPr>
            <w:r w:rsidRPr="003F3F35">
              <w:rPr>
                <w:rFonts w:eastAsia="標楷體" w:cstheme="minorHAnsi"/>
                <w:szCs w:val="24"/>
              </w:rPr>
              <w:t>For EIs other than arsenic (As) and thallium (Tl), a maximum Cutaneous Bioavailability (CBA) of 1% is used.</w:t>
            </w:r>
          </w:p>
          <w:p w:rsidR="003F3F35" w:rsidRPr="003F3F35" w:rsidRDefault="003F3F35" w:rsidP="00DE2187">
            <w:pPr>
              <w:pStyle w:val="a8"/>
              <w:numPr>
                <w:ilvl w:val="0"/>
                <w:numId w:val="32"/>
              </w:numPr>
              <w:snapToGrid w:val="0"/>
              <w:spacing w:line="0" w:lineRule="atLeast"/>
              <w:ind w:leftChars="0" w:left="482" w:hanging="482"/>
              <w:jc w:val="both"/>
              <w:rPr>
                <w:rFonts w:eastAsia="標楷體" w:cstheme="minorHAnsi"/>
                <w:szCs w:val="24"/>
              </w:rPr>
            </w:pPr>
            <w:r w:rsidRPr="003F3F35">
              <w:rPr>
                <w:rFonts w:eastAsia="標楷體" w:cstheme="minorHAnsi"/>
                <w:szCs w:val="24"/>
              </w:rPr>
              <w:t>To account for the various factors that can enhance CBA, a factor of 10 is applied to increase the CBA (adjusted CBA).</w:t>
            </w:r>
          </w:p>
          <w:p w:rsidR="003F3F35" w:rsidRPr="003F3F35" w:rsidRDefault="003F3F35" w:rsidP="00DE2187">
            <w:pPr>
              <w:pStyle w:val="a8"/>
              <w:numPr>
                <w:ilvl w:val="0"/>
                <w:numId w:val="32"/>
              </w:numPr>
              <w:snapToGrid w:val="0"/>
              <w:spacing w:line="0" w:lineRule="atLeast"/>
              <w:ind w:leftChars="0" w:left="482" w:hanging="482"/>
              <w:jc w:val="both"/>
              <w:rPr>
                <w:rFonts w:eastAsia="標楷體" w:cstheme="minorHAnsi"/>
                <w:szCs w:val="24"/>
              </w:rPr>
            </w:pPr>
            <w:r w:rsidRPr="003F3F35">
              <w:rPr>
                <w:rFonts w:eastAsia="標楷體" w:cstheme="minorHAnsi"/>
                <w:szCs w:val="24"/>
              </w:rPr>
              <w:t>To calculate the CMF, the parenteral BA (100%) is divided by the adjusted CBA</w:t>
            </w:r>
            <w:r>
              <w:rPr>
                <w:rFonts w:eastAsia="標楷體" w:cstheme="minorHAnsi" w:hint="eastAsia"/>
                <w:szCs w:val="24"/>
              </w:rPr>
              <w:t>.</w:t>
            </w:r>
          </w:p>
        </w:tc>
        <w:tc>
          <w:tcPr>
            <w:tcW w:w="970" w:type="pct"/>
          </w:tcPr>
          <w:p w:rsidR="00693F40" w:rsidRPr="00B55920" w:rsidRDefault="00693F40" w:rsidP="00525292">
            <w:pPr>
              <w:snapToGrid w:val="0"/>
              <w:spacing w:beforeLines="50" w:before="180" w:afterLines="50" w:after="180" w:line="0" w:lineRule="atLeast"/>
              <w:contextualSpacing/>
              <w:rPr>
                <w:rFonts w:eastAsia="標楷體" w:cstheme="minorHAnsi"/>
                <w:szCs w:val="24"/>
              </w:rPr>
            </w:pPr>
          </w:p>
        </w:tc>
      </w:tr>
      <w:tr w:rsidR="00693F40" w:rsidRPr="00B55920" w:rsidTr="00EB6C26">
        <w:tc>
          <w:tcPr>
            <w:tcW w:w="262" w:type="pct"/>
          </w:tcPr>
          <w:p w:rsidR="00693F40" w:rsidRPr="00FE5D79" w:rsidRDefault="0026331E" w:rsidP="00525292">
            <w:pPr>
              <w:snapToGrid w:val="0"/>
              <w:spacing w:beforeLines="50" w:before="180" w:afterLines="50" w:after="180" w:line="0" w:lineRule="atLeast"/>
              <w:contextualSpacing/>
              <w:jc w:val="center"/>
              <w:rPr>
                <w:rFonts w:eastAsia="標楷體" w:cstheme="minorHAnsi"/>
                <w:b/>
                <w:szCs w:val="24"/>
              </w:rPr>
            </w:pPr>
            <w:r w:rsidRPr="00FE5D79">
              <w:rPr>
                <w:rFonts w:eastAsia="標楷體" w:cstheme="minorHAnsi" w:hint="eastAsia"/>
                <w:b/>
                <w:szCs w:val="24"/>
              </w:rPr>
              <w:lastRenderedPageBreak/>
              <w:t>4.2</w:t>
            </w:r>
          </w:p>
        </w:tc>
        <w:tc>
          <w:tcPr>
            <w:tcW w:w="1089" w:type="pct"/>
          </w:tcPr>
          <w:p w:rsidR="00693F40" w:rsidRPr="00FE5D79" w:rsidRDefault="0026331E" w:rsidP="00525292">
            <w:pPr>
              <w:snapToGrid w:val="0"/>
              <w:spacing w:beforeLines="50" w:before="180" w:afterLines="50" w:after="180" w:line="0" w:lineRule="atLeast"/>
              <w:contextualSpacing/>
              <w:rPr>
                <w:rFonts w:eastAsia="標楷體" w:cstheme="minorHAnsi"/>
                <w:b/>
                <w:szCs w:val="24"/>
              </w:rPr>
            </w:pPr>
            <w:r w:rsidRPr="00FE5D79">
              <w:rPr>
                <w:rFonts w:eastAsia="標楷體" w:cstheme="minorHAnsi"/>
                <w:b/>
                <w:szCs w:val="24"/>
              </w:rPr>
              <w:t>Cutaneous PDE</w:t>
            </w:r>
          </w:p>
        </w:tc>
        <w:tc>
          <w:tcPr>
            <w:tcW w:w="2679" w:type="pct"/>
          </w:tcPr>
          <w:p w:rsidR="003F3F35" w:rsidRPr="003F3F35" w:rsidRDefault="003F3F35" w:rsidP="009C11A0">
            <w:pPr>
              <w:snapToGrid w:val="0"/>
              <w:spacing w:afterLines="50" w:after="180" w:line="0" w:lineRule="atLeast"/>
              <w:jc w:val="both"/>
              <w:rPr>
                <w:rFonts w:eastAsia="標楷體" w:cstheme="minorHAnsi"/>
                <w:szCs w:val="24"/>
              </w:rPr>
            </w:pPr>
            <w:r w:rsidRPr="003F3F35">
              <w:rPr>
                <w:rFonts w:eastAsia="標楷體" w:cstheme="minorHAnsi"/>
                <w:szCs w:val="24"/>
              </w:rPr>
              <w:t>The Cutaneous PDE is calculated as</w:t>
            </w:r>
          </w:p>
          <w:p w:rsidR="003F3F35" w:rsidRPr="003F3F35" w:rsidRDefault="003F3F35" w:rsidP="009C11A0">
            <w:pPr>
              <w:snapToGrid w:val="0"/>
              <w:spacing w:afterLines="50" w:after="180" w:line="0" w:lineRule="atLeast"/>
              <w:ind w:leftChars="200" w:left="480"/>
              <w:jc w:val="both"/>
              <w:rPr>
                <w:rFonts w:eastAsia="標楷體" w:cstheme="minorHAnsi"/>
                <w:szCs w:val="24"/>
              </w:rPr>
            </w:pPr>
            <w:r w:rsidRPr="003F3F35">
              <w:rPr>
                <w:rFonts w:eastAsia="標楷體" w:cstheme="minorHAnsi"/>
                <w:szCs w:val="24"/>
              </w:rPr>
              <w:t>Cutaneous PDE = Parenteral PDE x CMF</w:t>
            </w:r>
          </w:p>
          <w:p w:rsidR="003F3F35" w:rsidRDefault="003F3F35" w:rsidP="009C11A0">
            <w:pPr>
              <w:snapToGrid w:val="0"/>
              <w:spacing w:afterLines="50" w:after="180" w:line="0" w:lineRule="atLeast"/>
              <w:jc w:val="both"/>
              <w:rPr>
                <w:rFonts w:eastAsia="標楷體" w:cstheme="minorHAnsi"/>
                <w:szCs w:val="24"/>
              </w:rPr>
            </w:pPr>
            <w:r w:rsidRPr="003F3F35">
              <w:rPr>
                <w:rFonts w:eastAsia="標楷體" w:cstheme="minorHAnsi"/>
                <w:szCs w:val="24"/>
              </w:rPr>
              <w:t>Parenteral PDE calculations already include safety factors F1-F</w:t>
            </w:r>
            <w:r>
              <w:rPr>
                <w:rFonts w:eastAsia="標楷體" w:cstheme="minorHAnsi"/>
                <w:szCs w:val="24"/>
              </w:rPr>
              <w:t>5 or are derived from Oral PDE,</w:t>
            </w:r>
            <w:r>
              <w:rPr>
                <w:rFonts w:eastAsia="標楷體" w:cstheme="minorHAnsi" w:hint="eastAsia"/>
                <w:szCs w:val="24"/>
              </w:rPr>
              <w:t xml:space="preserve"> </w:t>
            </w:r>
            <w:r w:rsidRPr="003F3F35">
              <w:rPr>
                <w:rFonts w:eastAsia="標楷體" w:cstheme="minorHAnsi"/>
                <w:szCs w:val="24"/>
              </w:rPr>
              <w:t>which also include safety factors (see Appendix 1of ICH Q3D) to account for variability and</w:t>
            </w:r>
            <w:r>
              <w:rPr>
                <w:rFonts w:eastAsia="標楷體" w:cstheme="minorHAnsi" w:hint="eastAsia"/>
                <w:szCs w:val="24"/>
              </w:rPr>
              <w:t xml:space="preserve"> </w:t>
            </w:r>
            <w:r w:rsidRPr="003F3F35">
              <w:rPr>
                <w:rFonts w:eastAsia="標楷體" w:cstheme="minorHAnsi"/>
                <w:szCs w:val="24"/>
              </w:rPr>
              <w:t xml:space="preserve">extrapolation. Therefore, no further adjustments are necessary </w:t>
            </w:r>
            <w:r>
              <w:rPr>
                <w:rFonts w:eastAsia="標楷體" w:cstheme="minorHAnsi"/>
                <w:szCs w:val="24"/>
              </w:rPr>
              <w:t>for the cutaneous PDE.</w:t>
            </w:r>
          </w:p>
          <w:p w:rsidR="00693F40" w:rsidRPr="00B55920" w:rsidRDefault="003F3F35" w:rsidP="009C11A0">
            <w:pPr>
              <w:snapToGrid w:val="0"/>
              <w:spacing w:afterLines="50" w:after="180" w:line="0" w:lineRule="atLeast"/>
              <w:jc w:val="both"/>
              <w:rPr>
                <w:rFonts w:eastAsia="標楷體" w:cstheme="minorHAnsi"/>
                <w:szCs w:val="24"/>
              </w:rPr>
            </w:pPr>
            <w:r w:rsidRPr="003F3F35">
              <w:rPr>
                <w:rFonts w:eastAsia="標楷體" w:cstheme="minorHAnsi"/>
                <w:szCs w:val="24"/>
              </w:rPr>
              <w:t>The derived cutaneous PDEs are listed in Table 1.</w:t>
            </w:r>
          </w:p>
        </w:tc>
        <w:tc>
          <w:tcPr>
            <w:tcW w:w="970" w:type="pct"/>
          </w:tcPr>
          <w:p w:rsidR="00693F40" w:rsidRPr="00B55920" w:rsidRDefault="00693F40" w:rsidP="00525292">
            <w:pPr>
              <w:snapToGrid w:val="0"/>
              <w:spacing w:beforeLines="50" w:before="180" w:afterLines="50" w:after="180" w:line="0" w:lineRule="atLeast"/>
              <w:contextualSpacing/>
              <w:rPr>
                <w:rFonts w:eastAsia="標楷體" w:cstheme="minorHAnsi"/>
                <w:szCs w:val="24"/>
              </w:rPr>
            </w:pPr>
          </w:p>
        </w:tc>
      </w:tr>
      <w:tr w:rsidR="00693F40" w:rsidRPr="00B55920" w:rsidTr="00EB6C26">
        <w:tc>
          <w:tcPr>
            <w:tcW w:w="262" w:type="pct"/>
          </w:tcPr>
          <w:p w:rsidR="00693F40" w:rsidRPr="00FE5D79" w:rsidRDefault="0026331E" w:rsidP="00525292">
            <w:pPr>
              <w:snapToGrid w:val="0"/>
              <w:spacing w:before="50" w:after="50" w:line="0" w:lineRule="atLeast"/>
              <w:contextualSpacing/>
              <w:jc w:val="center"/>
              <w:rPr>
                <w:rFonts w:eastAsia="標楷體" w:cstheme="minorHAnsi"/>
                <w:b/>
                <w:szCs w:val="24"/>
              </w:rPr>
            </w:pPr>
            <w:r w:rsidRPr="00FE5D79">
              <w:rPr>
                <w:rFonts w:eastAsia="標楷體" w:cstheme="minorHAnsi" w:hint="eastAsia"/>
                <w:b/>
                <w:szCs w:val="24"/>
              </w:rPr>
              <w:t>4.2.1</w:t>
            </w:r>
          </w:p>
        </w:tc>
        <w:tc>
          <w:tcPr>
            <w:tcW w:w="1089" w:type="pct"/>
          </w:tcPr>
          <w:p w:rsidR="00693F40" w:rsidRPr="00FE5D79" w:rsidRDefault="00330DA3" w:rsidP="00525292">
            <w:pPr>
              <w:snapToGrid w:val="0"/>
              <w:spacing w:before="50" w:after="50" w:line="0" w:lineRule="atLeast"/>
              <w:contextualSpacing/>
              <w:rPr>
                <w:rFonts w:eastAsia="標楷體" w:cstheme="minorHAnsi"/>
                <w:b/>
                <w:szCs w:val="24"/>
              </w:rPr>
            </w:pPr>
            <w:r w:rsidRPr="00FE5D79">
              <w:rPr>
                <w:rFonts w:eastAsia="標楷體" w:cstheme="minorHAnsi"/>
                <w:b/>
                <w:szCs w:val="24"/>
              </w:rPr>
              <w:t>Derivation of PDE for EI, other than Thallium (Tl) and Arsenic (As)</w:t>
            </w:r>
          </w:p>
        </w:tc>
        <w:tc>
          <w:tcPr>
            <w:tcW w:w="2679" w:type="pct"/>
          </w:tcPr>
          <w:p w:rsidR="00693F40" w:rsidRDefault="00330DA3" w:rsidP="009C11A0">
            <w:pPr>
              <w:snapToGrid w:val="0"/>
              <w:spacing w:after="50" w:line="0" w:lineRule="atLeast"/>
              <w:jc w:val="both"/>
              <w:rPr>
                <w:rFonts w:eastAsia="標楷體" w:cstheme="minorHAnsi"/>
                <w:szCs w:val="24"/>
              </w:rPr>
            </w:pPr>
            <w:r w:rsidRPr="00330DA3">
              <w:rPr>
                <w:rFonts w:eastAsia="標楷體" w:cstheme="minorHAnsi"/>
                <w:szCs w:val="24"/>
              </w:rPr>
              <w:t>For EI with low CBA (</w:t>
            </w:r>
            <w:r w:rsidRPr="00CB7CBF">
              <w:rPr>
                <w:rFonts w:eastAsia="標楷體" w:cstheme="minorHAnsi"/>
                <w:szCs w:val="24"/>
                <w:u w:val="single"/>
              </w:rPr>
              <w:t xml:space="preserve">&lt; </w:t>
            </w:r>
            <w:r w:rsidRPr="00330DA3">
              <w:rPr>
                <w:rFonts w:eastAsia="標楷體" w:cstheme="minorHAnsi"/>
                <w:szCs w:val="24"/>
              </w:rPr>
              <w:t>1%), a CMF of 10 is applied.</w:t>
            </w:r>
          </w:p>
          <w:p w:rsidR="00330DA3" w:rsidRDefault="00330DA3" w:rsidP="009C11A0">
            <w:pPr>
              <w:snapToGrid w:val="0"/>
              <w:spacing w:after="50" w:line="0" w:lineRule="atLeast"/>
              <w:ind w:leftChars="200" w:left="480"/>
              <w:jc w:val="both"/>
              <w:rPr>
                <w:rFonts w:eastAsia="標楷體" w:cstheme="minorHAnsi"/>
                <w:szCs w:val="24"/>
              </w:rPr>
            </w:pPr>
            <w:r w:rsidRPr="00330DA3">
              <w:rPr>
                <w:rFonts w:eastAsia="標楷體" w:cstheme="minorHAnsi"/>
                <w:szCs w:val="24"/>
              </w:rPr>
              <w:t xml:space="preserve">For EI with </w:t>
            </w:r>
            <w:r w:rsidRPr="00CB7CBF">
              <w:rPr>
                <w:rFonts w:eastAsia="標楷體" w:cstheme="minorHAnsi"/>
                <w:szCs w:val="24"/>
                <w:u w:val="single"/>
              </w:rPr>
              <w:t>&lt;</w:t>
            </w:r>
            <w:r w:rsidRPr="00330DA3">
              <w:rPr>
                <w:rFonts w:eastAsia="標楷體" w:cstheme="minorHAnsi"/>
                <w:szCs w:val="24"/>
              </w:rPr>
              <w:t xml:space="preserve"> 1% CBA, the adjusted CBA is 1% x 10 = 10%</w:t>
            </w:r>
          </w:p>
          <w:p w:rsidR="00330DA3" w:rsidRDefault="00330DA3" w:rsidP="009C11A0">
            <w:pPr>
              <w:snapToGrid w:val="0"/>
              <w:spacing w:after="50" w:line="0" w:lineRule="atLeast"/>
              <w:ind w:leftChars="200" w:left="480"/>
              <w:jc w:val="both"/>
              <w:rPr>
                <w:rFonts w:eastAsia="標楷體" w:cstheme="minorHAnsi"/>
                <w:szCs w:val="24"/>
              </w:rPr>
            </w:pPr>
            <w:r w:rsidRPr="00330DA3">
              <w:rPr>
                <w:rFonts w:eastAsia="標楷體" w:cstheme="minorHAnsi"/>
                <w:szCs w:val="24"/>
              </w:rPr>
              <w:t>Divide the parenteral BA by the adjusted CBA to derive the CMF</w:t>
            </w:r>
          </w:p>
          <w:p w:rsidR="00330DA3" w:rsidRDefault="00330DA3" w:rsidP="009C11A0">
            <w:pPr>
              <w:snapToGrid w:val="0"/>
              <w:spacing w:after="50" w:line="0" w:lineRule="atLeast"/>
              <w:ind w:leftChars="500" w:left="1200"/>
              <w:jc w:val="both"/>
              <w:rPr>
                <w:rFonts w:eastAsia="標楷體" w:cstheme="minorHAnsi"/>
                <w:szCs w:val="24"/>
              </w:rPr>
            </w:pPr>
            <w:r w:rsidRPr="00330DA3">
              <w:rPr>
                <w:rFonts w:eastAsia="標楷體" w:cstheme="minorHAnsi"/>
                <w:szCs w:val="24"/>
              </w:rPr>
              <w:t>100%/10% = 10</w:t>
            </w:r>
          </w:p>
          <w:p w:rsidR="00330DA3" w:rsidRDefault="00330DA3" w:rsidP="009C11A0">
            <w:pPr>
              <w:snapToGrid w:val="0"/>
              <w:spacing w:after="50" w:line="0" w:lineRule="atLeast"/>
              <w:jc w:val="both"/>
              <w:rPr>
                <w:rFonts w:eastAsia="標楷體" w:cstheme="minorHAnsi"/>
                <w:szCs w:val="24"/>
              </w:rPr>
            </w:pPr>
            <w:r w:rsidRPr="00330DA3">
              <w:rPr>
                <w:rFonts w:eastAsia="標楷體" w:cstheme="minorHAnsi"/>
                <w:szCs w:val="24"/>
              </w:rPr>
              <w:t>The cutaneous PDE is derived as:</w:t>
            </w:r>
          </w:p>
          <w:p w:rsidR="00330DA3" w:rsidRPr="00330DA3" w:rsidRDefault="00330DA3" w:rsidP="009C11A0">
            <w:pPr>
              <w:snapToGrid w:val="0"/>
              <w:spacing w:after="50" w:line="0" w:lineRule="atLeast"/>
              <w:ind w:leftChars="200" w:left="480"/>
              <w:jc w:val="both"/>
              <w:rPr>
                <w:rFonts w:eastAsia="標楷體" w:cstheme="minorHAnsi"/>
                <w:szCs w:val="24"/>
              </w:rPr>
            </w:pPr>
            <w:r w:rsidRPr="00330DA3">
              <w:rPr>
                <w:rFonts w:eastAsia="標楷體" w:cstheme="minorHAnsi"/>
                <w:szCs w:val="24"/>
              </w:rPr>
              <w:t>Cutaneous PDE = Parenteral PDE x CMF</w:t>
            </w:r>
          </w:p>
          <w:p w:rsidR="00330DA3" w:rsidRDefault="00330DA3" w:rsidP="009C11A0">
            <w:pPr>
              <w:snapToGrid w:val="0"/>
              <w:spacing w:after="50" w:line="0" w:lineRule="atLeast"/>
              <w:ind w:leftChars="200" w:left="480"/>
              <w:jc w:val="both"/>
              <w:rPr>
                <w:rFonts w:eastAsia="標楷體" w:cstheme="minorHAnsi"/>
                <w:szCs w:val="24"/>
              </w:rPr>
            </w:pPr>
            <w:r w:rsidRPr="00330DA3">
              <w:rPr>
                <w:rFonts w:eastAsia="標楷體" w:cstheme="minorHAnsi"/>
                <w:szCs w:val="24"/>
              </w:rPr>
              <w:t>Cutaneous PDE = Parenteral PDE x 10</w:t>
            </w:r>
          </w:p>
          <w:p w:rsidR="00330DA3" w:rsidRPr="00B55920" w:rsidRDefault="00330DA3" w:rsidP="009C11A0">
            <w:pPr>
              <w:snapToGrid w:val="0"/>
              <w:spacing w:after="50" w:line="0" w:lineRule="atLeast"/>
              <w:jc w:val="both"/>
              <w:rPr>
                <w:rFonts w:eastAsia="標楷體" w:cstheme="minorHAnsi"/>
                <w:szCs w:val="24"/>
              </w:rPr>
            </w:pPr>
            <w:r w:rsidRPr="00330DA3">
              <w:rPr>
                <w:rFonts w:eastAsia="標楷體" w:cstheme="minorHAnsi"/>
                <w:szCs w:val="24"/>
              </w:rPr>
              <w:t>See Table 1 for cutaneous PDEs for individual EI.</w:t>
            </w:r>
          </w:p>
        </w:tc>
        <w:tc>
          <w:tcPr>
            <w:tcW w:w="970" w:type="pct"/>
          </w:tcPr>
          <w:p w:rsidR="00693F40" w:rsidRPr="00B55920" w:rsidRDefault="00693F40" w:rsidP="00525292">
            <w:pPr>
              <w:snapToGrid w:val="0"/>
              <w:spacing w:before="50" w:after="50" w:line="0" w:lineRule="atLeast"/>
              <w:contextualSpacing/>
              <w:rPr>
                <w:rFonts w:eastAsia="標楷體" w:cstheme="minorHAnsi"/>
                <w:szCs w:val="24"/>
              </w:rPr>
            </w:pPr>
          </w:p>
        </w:tc>
      </w:tr>
      <w:tr w:rsidR="00693F40" w:rsidRPr="00B55920" w:rsidTr="00EB6C26">
        <w:trPr>
          <w:trHeight w:val="56"/>
        </w:trPr>
        <w:tc>
          <w:tcPr>
            <w:tcW w:w="262" w:type="pct"/>
          </w:tcPr>
          <w:p w:rsidR="00693F40" w:rsidRPr="00FE5D79" w:rsidRDefault="005B0292" w:rsidP="00525292">
            <w:pPr>
              <w:snapToGrid w:val="0"/>
              <w:spacing w:before="50" w:after="50" w:line="0" w:lineRule="atLeast"/>
              <w:contextualSpacing/>
              <w:jc w:val="center"/>
              <w:rPr>
                <w:rFonts w:eastAsia="標楷體" w:cstheme="minorHAnsi"/>
                <w:b/>
                <w:szCs w:val="24"/>
              </w:rPr>
            </w:pPr>
            <w:r w:rsidRPr="00FE5D79">
              <w:rPr>
                <w:rFonts w:eastAsia="標楷體" w:cstheme="minorHAnsi" w:hint="eastAsia"/>
                <w:b/>
                <w:szCs w:val="24"/>
              </w:rPr>
              <w:t>4.2.2</w:t>
            </w:r>
          </w:p>
        </w:tc>
        <w:tc>
          <w:tcPr>
            <w:tcW w:w="1089" w:type="pct"/>
          </w:tcPr>
          <w:p w:rsidR="00693F40" w:rsidRPr="00FE5D79" w:rsidRDefault="00DE2187" w:rsidP="00DE2187">
            <w:pPr>
              <w:snapToGrid w:val="0"/>
              <w:spacing w:before="50" w:after="50" w:line="0" w:lineRule="atLeast"/>
              <w:contextualSpacing/>
              <w:rPr>
                <w:rFonts w:eastAsia="標楷體" w:cstheme="minorHAnsi"/>
                <w:b/>
                <w:szCs w:val="24"/>
              </w:rPr>
            </w:pPr>
            <w:r>
              <w:rPr>
                <w:rFonts w:eastAsia="標楷體" w:cstheme="minorHAnsi"/>
                <w:b/>
                <w:szCs w:val="24"/>
              </w:rPr>
              <w:t>Derivation of</w:t>
            </w:r>
            <w:r w:rsidR="005B0292" w:rsidRPr="00FE5D79">
              <w:rPr>
                <w:rFonts w:eastAsia="標楷體" w:cstheme="minorHAnsi"/>
                <w:b/>
                <w:szCs w:val="24"/>
              </w:rPr>
              <w:t xml:space="preserve"> PDE for Arsenic</w:t>
            </w:r>
          </w:p>
        </w:tc>
        <w:tc>
          <w:tcPr>
            <w:tcW w:w="2679" w:type="pct"/>
          </w:tcPr>
          <w:p w:rsidR="00693F40" w:rsidRDefault="005B0292" w:rsidP="009C11A0">
            <w:pPr>
              <w:snapToGrid w:val="0"/>
              <w:spacing w:afterLines="50" w:after="180" w:line="0" w:lineRule="atLeast"/>
              <w:jc w:val="both"/>
              <w:rPr>
                <w:rFonts w:eastAsia="標楷體" w:cstheme="minorHAnsi"/>
                <w:szCs w:val="24"/>
              </w:rPr>
            </w:pPr>
            <w:r w:rsidRPr="005B0292">
              <w:rPr>
                <w:rFonts w:eastAsia="標楷體" w:cstheme="minorHAnsi"/>
                <w:szCs w:val="24"/>
              </w:rPr>
              <w:t>For inorganic arsenic, the available data indicate that the transcutan</w:t>
            </w:r>
            <w:r>
              <w:rPr>
                <w:rFonts w:eastAsia="標楷體" w:cstheme="minorHAnsi"/>
                <w:szCs w:val="24"/>
              </w:rPr>
              <w:t>eous absorption is greater than</w:t>
            </w:r>
            <w:r w:rsidRPr="005B0292">
              <w:rPr>
                <w:rFonts w:eastAsia="標楷體" w:cstheme="minorHAnsi"/>
                <w:szCs w:val="24"/>
              </w:rPr>
              <w:t xml:space="preserve"> that observed for most other EI (approximately 5%) (ATSDR, 20</w:t>
            </w:r>
            <w:r>
              <w:rPr>
                <w:rFonts w:eastAsia="標楷體" w:cstheme="minorHAnsi"/>
                <w:szCs w:val="24"/>
              </w:rPr>
              <w:t>16). Based on this, the CMF for</w:t>
            </w:r>
            <w:r>
              <w:rPr>
                <w:rFonts w:eastAsia="標楷體" w:cstheme="minorHAnsi" w:hint="eastAsia"/>
                <w:szCs w:val="24"/>
              </w:rPr>
              <w:t xml:space="preserve"> </w:t>
            </w:r>
            <w:r w:rsidRPr="005B0292">
              <w:rPr>
                <w:rFonts w:eastAsia="標楷體" w:cstheme="minorHAnsi"/>
                <w:szCs w:val="24"/>
              </w:rPr>
              <w:t>arsenic is 2, as shown in the calculation below</w:t>
            </w:r>
          </w:p>
          <w:p w:rsidR="005B0292" w:rsidRDefault="005B0292" w:rsidP="00DE2187">
            <w:pPr>
              <w:snapToGrid w:val="0"/>
              <w:spacing w:line="0" w:lineRule="atLeast"/>
              <w:ind w:leftChars="200" w:left="480"/>
              <w:jc w:val="both"/>
              <w:rPr>
                <w:rFonts w:eastAsia="標楷體" w:cstheme="minorHAnsi"/>
                <w:szCs w:val="24"/>
              </w:rPr>
            </w:pPr>
            <w:r w:rsidRPr="005B0292">
              <w:rPr>
                <w:rFonts w:eastAsia="標楷體" w:cstheme="minorHAnsi"/>
                <w:szCs w:val="24"/>
              </w:rPr>
              <w:t xml:space="preserve">Derive </w:t>
            </w:r>
            <w:r>
              <w:rPr>
                <w:rFonts w:eastAsia="標楷體" w:cstheme="minorHAnsi"/>
                <w:szCs w:val="24"/>
              </w:rPr>
              <w:t>the adjusted CBA: 5% x 10 = 50%</w:t>
            </w:r>
          </w:p>
          <w:p w:rsidR="005B0292" w:rsidRPr="005B0292" w:rsidRDefault="005B0292" w:rsidP="00DE2187">
            <w:pPr>
              <w:snapToGrid w:val="0"/>
              <w:spacing w:line="0" w:lineRule="atLeast"/>
              <w:ind w:leftChars="200" w:left="480"/>
              <w:jc w:val="both"/>
              <w:rPr>
                <w:rFonts w:eastAsia="標楷體" w:cstheme="minorHAnsi"/>
                <w:szCs w:val="24"/>
              </w:rPr>
            </w:pPr>
            <w:r w:rsidRPr="005B0292">
              <w:rPr>
                <w:rFonts w:eastAsia="標楷體" w:cstheme="minorHAnsi"/>
                <w:szCs w:val="24"/>
              </w:rPr>
              <w:t>Divide parenteral BA by the adjusted CBA to derive the CMF</w:t>
            </w:r>
          </w:p>
          <w:p w:rsidR="005B0292" w:rsidRPr="005B0292" w:rsidRDefault="005B0292" w:rsidP="00DE2187">
            <w:pPr>
              <w:snapToGrid w:val="0"/>
              <w:spacing w:line="0" w:lineRule="atLeast"/>
              <w:ind w:leftChars="500" w:left="1200"/>
              <w:jc w:val="both"/>
              <w:rPr>
                <w:rFonts w:eastAsia="標楷體" w:cstheme="minorHAnsi"/>
                <w:szCs w:val="24"/>
              </w:rPr>
            </w:pPr>
            <w:r w:rsidRPr="005B0292">
              <w:rPr>
                <w:rFonts w:eastAsia="標楷體" w:cstheme="minorHAnsi"/>
                <w:szCs w:val="24"/>
              </w:rPr>
              <w:t>100%/50% = 2</w:t>
            </w:r>
          </w:p>
          <w:p w:rsidR="005B0292" w:rsidRPr="005B0292" w:rsidRDefault="005B0292" w:rsidP="00DE2187">
            <w:pPr>
              <w:snapToGrid w:val="0"/>
              <w:spacing w:line="0" w:lineRule="atLeast"/>
              <w:ind w:leftChars="200" w:left="480"/>
              <w:jc w:val="both"/>
              <w:rPr>
                <w:rFonts w:eastAsia="標楷體" w:cstheme="minorHAnsi"/>
                <w:szCs w:val="24"/>
              </w:rPr>
            </w:pPr>
            <w:r w:rsidRPr="005B0292">
              <w:rPr>
                <w:rFonts w:eastAsia="標楷體" w:cstheme="minorHAnsi"/>
                <w:szCs w:val="24"/>
              </w:rPr>
              <w:t>The cutaneous PDE is derived as:</w:t>
            </w:r>
          </w:p>
          <w:p w:rsidR="005B0292" w:rsidRPr="005B0292" w:rsidRDefault="005B0292" w:rsidP="00DE2187">
            <w:pPr>
              <w:snapToGrid w:val="0"/>
              <w:spacing w:line="0" w:lineRule="atLeast"/>
              <w:ind w:leftChars="200" w:left="480"/>
              <w:jc w:val="both"/>
              <w:rPr>
                <w:rFonts w:eastAsia="標楷體" w:cstheme="minorHAnsi"/>
                <w:szCs w:val="24"/>
              </w:rPr>
            </w:pPr>
            <w:r w:rsidRPr="005B0292">
              <w:rPr>
                <w:rFonts w:eastAsia="標楷體" w:cstheme="minorHAnsi"/>
                <w:szCs w:val="24"/>
              </w:rPr>
              <w:t>Cutaneous PDE = Parenteral PDE x CMF</w:t>
            </w:r>
          </w:p>
          <w:p w:rsidR="005B0292" w:rsidRPr="00B55920" w:rsidRDefault="005B0292" w:rsidP="00DE2187">
            <w:pPr>
              <w:snapToGrid w:val="0"/>
              <w:spacing w:line="0" w:lineRule="atLeast"/>
              <w:ind w:leftChars="200" w:left="480"/>
              <w:jc w:val="both"/>
              <w:rPr>
                <w:rFonts w:eastAsia="標楷體" w:cstheme="minorHAnsi"/>
                <w:szCs w:val="24"/>
              </w:rPr>
            </w:pPr>
            <w:r w:rsidRPr="005B0292">
              <w:rPr>
                <w:rFonts w:eastAsia="標楷體" w:cstheme="minorHAnsi"/>
                <w:szCs w:val="24"/>
              </w:rPr>
              <w:t xml:space="preserve">Cutaneous </w:t>
            </w:r>
            <w:r>
              <w:rPr>
                <w:rFonts w:eastAsia="標楷體" w:cstheme="minorHAnsi"/>
                <w:szCs w:val="24"/>
              </w:rPr>
              <w:t>PDE = 15 μg/day x 2 = 30 μg/day</w:t>
            </w:r>
          </w:p>
        </w:tc>
        <w:tc>
          <w:tcPr>
            <w:tcW w:w="970" w:type="pct"/>
          </w:tcPr>
          <w:p w:rsidR="00693F40" w:rsidRPr="00B55920" w:rsidRDefault="00693F40" w:rsidP="00525292">
            <w:pPr>
              <w:snapToGrid w:val="0"/>
              <w:spacing w:before="50" w:after="50" w:line="0" w:lineRule="atLeast"/>
              <w:contextualSpacing/>
              <w:rPr>
                <w:rFonts w:eastAsia="標楷體" w:cstheme="minorHAnsi"/>
                <w:szCs w:val="24"/>
              </w:rPr>
            </w:pPr>
          </w:p>
        </w:tc>
      </w:tr>
      <w:tr w:rsidR="0026331E" w:rsidRPr="00B55920" w:rsidTr="00EB6C26">
        <w:trPr>
          <w:trHeight w:val="56"/>
        </w:trPr>
        <w:tc>
          <w:tcPr>
            <w:tcW w:w="262" w:type="pct"/>
          </w:tcPr>
          <w:p w:rsidR="0026331E" w:rsidRPr="00FE5D79" w:rsidRDefault="005B0292" w:rsidP="00525292">
            <w:pPr>
              <w:snapToGrid w:val="0"/>
              <w:spacing w:before="50" w:after="50" w:line="0" w:lineRule="atLeast"/>
              <w:contextualSpacing/>
              <w:jc w:val="center"/>
              <w:rPr>
                <w:rFonts w:eastAsia="標楷體" w:cstheme="minorHAnsi"/>
                <w:b/>
                <w:szCs w:val="24"/>
              </w:rPr>
            </w:pPr>
            <w:r w:rsidRPr="00FE5D79">
              <w:rPr>
                <w:rFonts w:eastAsia="標楷體" w:cstheme="minorHAnsi" w:hint="eastAsia"/>
                <w:b/>
                <w:szCs w:val="24"/>
              </w:rPr>
              <w:t>4.2.3</w:t>
            </w:r>
          </w:p>
        </w:tc>
        <w:tc>
          <w:tcPr>
            <w:tcW w:w="1089" w:type="pct"/>
          </w:tcPr>
          <w:p w:rsidR="0026331E" w:rsidRPr="00FE5D79" w:rsidRDefault="005B0292" w:rsidP="00525292">
            <w:pPr>
              <w:snapToGrid w:val="0"/>
              <w:spacing w:before="50" w:after="50" w:line="0" w:lineRule="atLeast"/>
              <w:contextualSpacing/>
              <w:rPr>
                <w:rFonts w:eastAsia="標楷體" w:cstheme="minorHAnsi"/>
                <w:b/>
                <w:szCs w:val="24"/>
              </w:rPr>
            </w:pPr>
            <w:r w:rsidRPr="00FE5D79">
              <w:rPr>
                <w:rFonts w:eastAsia="標楷體" w:cstheme="minorHAnsi"/>
                <w:b/>
                <w:szCs w:val="24"/>
              </w:rPr>
              <w:t>Derivation of PDE for Thallium</w:t>
            </w:r>
          </w:p>
        </w:tc>
        <w:tc>
          <w:tcPr>
            <w:tcW w:w="2679" w:type="pct"/>
          </w:tcPr>
          <w:p w:rsidR="005B0292" w:rsidRPr="005B0292" w:rsidRDefault="005B0292" w:rsidP="009C11A0">
            <w:pPr>
              <w:snapToGrid w:val="0"/>
              <w:spacing w:afterLines="50" w:after="180" w:line="0" w:lineRule="atLeast"/>
              <w:jc w:val="both"/>
              <w:rPr>
                <w:rFonts w:eastAsia="標楷體" w:cstheme="minorHAnsi"/>
                <w:szCs w:val="24"/>
              </w:rPr>
            </w:pPr>
            <w:r w:rsidRPr="005B0292">
              <w:rPr>
                <w:rFonts w:eastAsia="標楷體" w:cstheme="minorHAnsi"/>
                <w:szCs w:val="24"/>
              </w:rPr>
              <w:t>Thallium is highly absorbed through the skin. Since quantitativ</w:t>
            </w:r>
            <w:r>
              <w:rPr>
                <w:rFonts w:eastAsia="標楷體" w:cstheme="minorHAnsi"/>
                <w:szCs w:val="24"/>
              </w:rPr>
              <w:t>e data are not available, it is</w:t>
            </w:r>
            <w:r>
              <w:rPr>
                <w:rFonts w:eastAsia="標楷體" w:cstheme="minorHAnsi" w:hint="eastAsia"/>
                <w:szCs w:val="24"/>
              </w:rPr>
              <w:t xml:space="preserve"> </w:t>
            </w:r>
            <w:r w:rsidRPr="005B0292">
              <w:rPr>
                <w:rFonts w:eastAsia="標楷體" w:cstheme="minorHAnsi"/>
                <w:szCs w:val="24"/>
              </w:rPr>
              <w:t>assumed to be effectively equivalent to parenteral levels. The adj</w:t>
            </w:r>
            <w:r>
              <w:rPr>
                <w:rFonts w:eastAsia="標楷體" w:cstheme="minorHAnsi"/>
                <w:szCs w:val="24"/>
              </w:rPr>
              <w:t>usted PDE equals the parenteral</w:t>
            </w:r>
            <w:r>
              <w:rPr>
                <w:rFonts w:eastAsia="標楷體" w:cstheme="minorHAnsi" w:hint="eastAsia"/>
                <w:szCs w:val="24"/>
              </w:rPr>
              <w:t xml:space="preserve"> </w:t>
            </w:r>
            <w:r>
              <w:rPr>
                <w:rFonts w:eastAsia="標楷體" w:cstheme="minorHAnsi"/>
                <w:szCs w:val="24"/>
              </w:rPr>
              <w:t>PDE, a CMF of 1 is used.</w:t>
            </w:r>
          </w:p>
          <w:p w:rsidR="005B0292" w:rsidRPr="005B0292" w:rsidRDefault="005B0292" w:rsidP="00DE2187">
            <w:pPr>
              <w:snapToGrid w:val="0"/>
              <w:spacing w:line="0" w:lineRule="atLeast"/>
              <w:jc w:val="both"/>
              <w:rPr>
                <w:rFonts w:eastAsia="標楷體" w:cstheme="minorHAnsi"/>
                <w:szCs w:val="24"/>
              </w:rPr>
            </w:pPr>
            <w:r w:rsidRPr="005B0292">
              <w:rPr>
                <w:rFonts w:eastAsia="標楷體" w:cstheme="minorHAnsi"/>
                <w:szCs w:val="24"/>
              </w:rPr>
              <w:t>The cutaneous PDE is derived as:</w:t>
            </w:r>
          </w:p>
          <w:p w:rsidR="005B0292" w:rsidRPr="005B0292" w:rsidRDefault="005B0292" w:rsidP="00DE2187">
            <w:pPr>
              <w:snapToGrid w:val="0"/>
              <w:spacing w:line="0" w:lineRule="atLeast"/>
              <w:ind w:leftChars="200" w:left="480"/>
              <w:rPr>
                <w:rFonts w:eastAsia="標楷體" w:cstheme="minorHAnsi"/>
                <w:szCs w:val="24"/>
              </w:rPr>
            </w:pPr>
            <w:r w:rsidRPr="005B0292">
              <w:rPr>
                <w:rFonts w:eastAsia="標楷體" w:cstheme="minorHAnsi"/>
                <w:szCs w:val="24"/>
              </w:rPr>
              <w:t>Parenteral PDE = 8 μg/day</w:t>
            </w:r>
          </w:p>
          <w:p w:rsidR="0026331E" w:rsidRPr="00B55920" w:rsidRDefault="005B0292" w:rsidP="00DE2187">
            <w:pPr>
              <w:snapToGrid w:val="0"/>
              <w:spacing w:line="0" w:lineRule="atLeast"/>
              <w:ind w:leftChars="200" w:left="480"/>
              <w:rPr>
                <w:rFonts w:eastAsia="標楷體" w:cstheme="minorHAnsi"/>
                <w:szCs w:val="24"/>
              </w:rPr>
            </w:pPr>
            <w:r w:rsidRPr="005B0292">
              <w:rPr>
                <w:rFonts w:eastAsia="標楷體" w:cstheme="minorHAnsi"/>
                <w:szCs w:val="24"/>
              </w:rPr>
              <w:lastRenderedPageBreak/>
              <w:t>Cutaneous PDE = 8 μg/day x 1 = 8 μg/day</w:t>
            </w:r>
          </w:p>
        </w:tc>
        <w:tc>
          <w:tcPr>
            <w:tcW w:w="970" w:type="pct"/>
          </w:tcPr>
          <w:p w:rsidR="0026331E" w:rsidRPr="00B55920" w:rsidRDefault="0026331E" w:rsidP="00525292">
            <w:pPr>
              <w:snapToGrid w:val="0"/>
              <w:spacing w:before="50" w:after="50" w:line="0" w:lineRule="atLeast"/>
              <w:contextualSpacing/>
              <w:rPr>
                <w:rFonts w:eastAsia="標楷體" w:cstheme="minorHAnsi"/>
                <w:szCs w:val="24"/>
              </w:rPr>
            </w:pPr>
          </w:p>
        </w:tc>
      </w:tr>
      <w:tr w:rsidR="0026331E" w:rsidRPr="00B55920" w:rsidTr="00EB6C26">
        <w:trPr>
          <w:trHeight w:val="56"/>
        </w:trPr>
        <w:tc>
          <w:tcPr>
            <w:tcW w:w="262" w:type="pct"/>
          </w:tcPr>
          <w:p w:rsidR="0026331E" w:rsidRPr="00FE5D79" w:rsidRDefault="005B0292" w:rsidP="00525292">
            <w:pPr>
              <w:snapToGrid w:val="0"/>
              <w:spacing w:before="50" w:after="50" w:line="0" w:lineRule="atLeast"/>
              <w:contextualSpacing/>
              <w:jc w:val="center"/>
              <w:rPr>
                <w:rFonts w:eastAsia="標楷體" w:cstheme="minorHAnsi"/>
                <w:b/>
                <w:szCs w:val="24"/>
              </w:rPr>
            </w:pPr>
            <w:r w:rsidRPr="00FE5D79">
              <w:rPr>
                <w:rFonts w:eastAsia="標楷體" w:cstheme="minorHAnsi" w:hint="eastAsia"/>
                <w:b/>
                <w:szCs w:val="24"/>
              </w:rPr>
              <w:t>5</w:t>
            </w:r>
          </w:p>
        </w:tc>
        <w:tc>
          <w:tcPr>
            <w:tcW w:w="1089" w:type="pct"/>
          </w:tcPr>
          <w:p w:rsidR="0026331E" w:rsidRPr="00FE5D79" w:rsidRDefault="005B0292" w:rsidP="00525292">
            <w:pPr>
              <w:snapToGrid w:val="0"/>
              <w:spacing w:before="50" w:after="50" w:line="0" w:lineRule="atLeast"/>
              <w:contextualSpacing/>
              <w:rPr>
                <w:rFonts w:eastAsia="標楷體" w:cstheme="minorHAnsi"/>
                <w:b/>
                <w:szCs w:val="24"/>
              </w:rPr>
            </w:pPr>
            <w:r w:rsidRPr="00FE5D79">
              <w:rPr>
                <w:rFonts w:eastAsia="標楷體" w:cstheme="minorHAnsi"/>
                <w:b/>
                <w:szCs w:val="24"/>
              </w:rPr>
              <w:t>CUTANEOUS CONCENTRATION LIMITS FOR NI AND CO</w:t>
            </w:r>
          </w:p>
        </w:tc>
        <w:tc>
          <w:tcPr>
            <w:tcW w:w="2679" w:type="pct"/>
          </w:tcPr>
          <w:p w:rsidR="005B0292" w:rsidRPr="005B0292" w:rsidRDefault="005B0292" w:rsidP="009C11A0">
            <w:pPr>
              <w:snapToGrid w:val="0"/>
              <w:spacing w:afterLines="50" w:after="180" w:line="0" w:lineRule="atLeast"/>
              <w:jc w:val="both"/>
              <w:rPr>
                <w:rFonts w:eastAsia="標楷體" w:cstheme="minorHAnsi"/>
                <w:szCs w:val="24"/>
              </w:rPr>
            </w:pPr>
            <w:r w:rsidRPr="005B0292">
              <w:rPr>
                <w:rFonts w:eastAsia="標楷體" w:cstheme="minorHAnsi"/>
                <w:szCs w:val="24"/>
              </w:rPr>
              <w:t>The concentrations of EI generally present in cutaneous products a</w:t>
            </w:r>
            <w:r>
              <w:rPr>
                <w:rFonts w:eastAsia="標楷體" w:cstheme="minorHAnsi"/>
                <w:szCs w:val="24"/>
              </w:rPr>
              <w:t>s impurities are not considered</w:t>
            </w:r>
            <w:r w:rsidRPr="005B0292">
              <w:rPr>
                <w:rFonts w:eastAsia="標楷體" w:cstheme="minorHAnsi"/>
                <w:szCs w:val="24"/>
              </w:rPr>
              <w:t xml:space="preserve"> sufficient to induce sensitization. However, a concentration </w:t>
            </w:r>
            <w:r>
              <w:rPr>
                <w:rFonts w:eastAsia="標楷體" w:cstheme="minorHAnsi"/>
                <w:szCs w:val="24"/>
              </w:rPr>
              <w:t>limit in addition to the PDE is</w:t>
            </w:r>
            <w:r w:rsidRPr="005B0292">
              <w:rPr>
                <w:rFonts w:eastAsia="標楷體" w:cstheme="minorHAnsi"/>
                <w:szCs w:val="24"/>
              </w:rPr>
              <w:t xml:space="preserve"> warranted for Nickel (Ni) and Cobalt (Co) to reduce the likelihood</w:t>
            </w:r>
            <w:r>
              <w:rPr>
                <w:rFonts w:eastAsia="標楷體" w:cstheme="minorHAnsi"/>
                <w:szCs w:val="24"/>
              </w:rPr>
              <w:t xml:space="preserve"> of eliciting skin reactions in</w:t>
            </w:r>
            <w:r w:rsidRPr="005B0292">
              <w:rPr>
                <w:rFonts w:eastAsia="標楷體" w:cstheme="minorHAnsi"/>
                <w:szCs w:val="24"/>
              </w:rPr>
              <w:t xml:space="preserve"> already sensitized individuals. This concentration limit is r</w:t>
            </w:r>
            <w:r>
              <w:rPr>
                <w:rFonts w:eastAsia="標楷體" w:cstheme="minorHAnsi"/>
                <w:szCs w:val="24"/>
              </w:rPr>
              <w:t>eferred to as the cutaneous and</w:t>
            </w:r>
            <w:r w:rsidRPr="005B0292">
              <w:rPr>
                <w:rFonts w:eastAsia="標楷體" w:cstheme="minorHAnsi"/>
                <w:szCs w:val="24"/>
              </w:rPr>
              <w:t xml:space="preserve"> transcutaneous concentration limit (CTCL). For other EI such as </w:t>
            </w:r>
            <w:r>
              <w:rPr>
                <w:rFonts w:eastAsia="標楷體" w:cstheme="minorHAnsi"/>
                <w:szCs w:val="24"/>
              </w:rPr>
              <w:t>Chromium (Cr), the threshold to</w:t>
            </w:r>
            <w:r w:rsidRPr="005B0292">
              <w:rPr>
                <w:rFonts w:eastAsia="標楷體" w:cstheme="minorHAnsi"/>
                <w:szCs w:val="24"/>
              </w:rPr>
              <w:t xml:space="preserve"> elicit a sensitizing response is either approximately equal to the cutaneous PDE (Cr) or much greater than the cutaneous PDE and therefore additional controls are not </w:t>
            </w:r>
            <w:r>
              <w:rPr>
                <w:rFonts w:eastAsia="標楷體" w:cstheme="minorHAnsi"/>
                <w:szCs w:val="24"/>
              </w:rPr>
              <w:t>necessary (Nethercott et al., 1994).</w:t>
            </w:r>
          </w:p>
          <w:p w:rsidR="0026331E" w:rsidRDefault="005B0292" w:rsidP="009C11A0">
            <w:pPr>
              <w:snapToGrid w:val="0"/>
              <w:spacing w:afterLines="50" w:after="180" w:line="0" w:lineRule="atLeast"/>
              <w:jc w:val="both"/>
              <w:rPr>
                <w:rFonts w:eastAsia="標楷體" w:cstheme="minorHAnsi"/>
                <w:szCs w:val="24"/>
              </w:rPr>
            </w:pPr>
            <w:r w:rsidRPr="005B0292">
              <w:rPr>
                <w:rFonts w:eastAsia="標楷體" w:cstheme="minorHAnsi"/>
                <w:szCs w:val="24"/>
              </w:rPr>
              <w:t>The dermal concentration limit of 0.5 μg/cm</w:t>
            </w:r>
            <w:r w:rsidRPr="005B0292">
              <w:rPr>
                <w:rFonts w:eastAsia="標楷體" w:cstheme="minorHAnsi"/>
                <w:szCs w:val="24"/>
                <w:vertAlign w:val="superscript"/>
              </w:rPr>
              <w:t>2</w:t>
            </w:r>
            <w:r w:rsidRPr="005B0292">
              <w:rPr>
                <w:rFonts w:eastAsia="標楷體" w:cstheme="minorHAnsi"/>
                <w:szCs w:val="24"/>
              </w:rPr>
              <w:t>/week for Ni was ori</w:t>
            </w:r>
            <w:r>
              <w:rPr>
                <w:rFonts w:eastAsia="標楷體" w:cstheme="minorHAnsi"/>
                <w:szCs w:val="24"/>
              </w:rPr>
              <w:t>ginally established by Menné et</w:t>
            </w:r>
            <w:r w:rsidRPr="005B0292">
              <w:rPr>
                <w:rFonts w:eastAsia="標楷體" w:cstheme="minorHAnsi"/>
                <w:szCs w:val="24"/>
              </w:rPr>
              <w:t xml:space="preserve"> al., (1987) as a detection limit in the dimethylglyoxime (DMG) </w:t>
            </w:r>
            <w:r>
              <w:rPr>
                <w:rFonts w:eastAsia="標楷體" w:cstheme="minorHAnsi"/>
                <w:szCs w:val="24"/>
              </w:rPr>
              <w:t>test. The use of Ni in consumer</w:t>
            </w:r>
            <w:r w:rsidRPr="005B0292">
              <w:rPr>
                <w:rFonts w:eastAsia="標楷體" w:cstheme="minorHAnsi"/>
                <w:szCs w:val="24"/>
              </w:rPr>
              <w:t xml:space="preserve"> products (e.g., jewelry) intended for direct and prolonged skin cont</w:t>
            </w:r>
            <w:r>
              <w:rPr>
                <w:rFonts w:eastAsia="標楷體" w:cstheme="minorHAnsi"/>
                <w:szCs w:val="24"/>
              </w:rPr>
              <w:t>act was regulated by this limit</w:t>
            </w:r>
            <w:r w:rsidRPr="005B0292">
              <w:rPr>
                <w:rFonts w:eastAsia="標楷體" w:cstheme="minorHAnsi"/>
                <w:szCs w:val="24"/>
              </w:rPr>
              <w:t xml:space="preserve"> under the EU countries Ni regulations and under the EU Nick</w:t>
            </w:r>
            <w:r>
              <w:rPr>
                <w:rFonts w:eastAsia="標楷體" w:cstheme="minorHAnsi"/>
                <w:szCs w:val="24"/>
              </w:rPr>
              <w:t>el Directive (currently, REACH,</w:t>
            </w:r>
            <w:r w:rsidRPr="005B0292">
              <w:rPr>
                <w:rFonts w:eastAsia="標楷體" w:cstheme="minorHAnsi"/>
                <w:szCs w:val="24"/>
              </w:rPr>
              <w:t xml:space="preserve"> Entry 27, Annex XVII). After implementation of the directiv</w:t>
            </w:r>
            <w:r>
              <w:rPr>
                <w:rFonts w:eastAsia="標楷體" w:cstheme="minorHAnsi"/>
                <w:szCs w:val="24"/>
              </w:rPr>
              <w:t>e, the prevalence of Ni allergy</w:t>
            </w:r>
            <w:r>
              <w:rPr>
                <w:rFonts w:eastAsia="標楷體" w:cstheme="minorHAnsi" w:hint="eastAsia"/>
                <w:szCs w:val="24"/>
              </w:rPr>
              <w:t xml:space="preserve"> </w:t>
            </w:r>
            <w:r w:rsidRPr="005B0292">
              <w:rPr>
                <w:rFonts w:eastAsia="標楷體" w:cstheme="minorHAnsi"/>
                <w:szCs w:val="24"/>
              </w:rPr>
              <w:t>decreased significantly (Thyssen et al., 2011; Ahlström et al., 2019).</w:t>
            </w:r>
            <w:r>
              <w:rPr>
                <w:rFonts w:eastAsia="標楷體" w:cstheme="minorHAnsi"/>
                <w:szCs w:val="24"/>
              </w:rPr>
              <w:t xml:space="preserve"> This limit is applied to set a</w:t>
            </w:r>
            <w:r w:rsidRPr="005B0292">
              <w:rPr>
                <w:rFonts w:eastAsia="標楷體" w:cstheme="minorHAnsi"/>
                <w:szCs w:val="24"/>
              </w:rPr>
              <w:t xml:space="preserve"> cutaneous concentration of Ni in drug products. Based on applicatio</w:t>
            </w:r>
            <w:r>
              <w:rPr>
                <w:rFonts w:eastAsia="標楷體" w:cstheme="minorHAnsi"/>
                <w:szCs w:val="24"/>
              </w:rPr>
              <w:t>n of 0.5 g dose of drug product</w:t>
            </w:r>
            <w:r w:rsidRPr="005B0292">
              <w:rPr>
                <w:rFonts w:eastAsia="標楷體" w:cstheme="minorHAnsi"/>
                <w:szCs w:val="24"/>
              </w:rPr>
              <w:t xml:space="preserve"> to a skin surface area of 250 cm</w:t>
            </w:r>
            <w:r w:rsidRPr="005B0292">
              <w:rPr>
                <w:rFonts w:eastAsia="標楷體" w:cstheme="minorHAnsi"/>
                <w:szCs w:val="24"/>
                <w:vertAlign w:val="superscript"/>
              </w:rPr>
              <w:t>2</w:t>
            </w:r>
            <w:r w:rsidRPr="005B0292">
              <w:rPr>
                <w:rFonts w:eastAsia="標楷體" w:cstheme="minorHAnsi"/>
                <w:szCs w:val="24"/>
              </w:rPr>
              <w:t xml:space="preserve"> (Long and Finlay, 1991), a CTCL of 35 μg/g/day drug product is</w:t>
            </w:r>
            <w:r>
              <w:rPr>
                <w:rFonts w:eastAsia="標楷體" w:cstheme="minorHAnsi" w:hint="eastAsia"/>
                <w:szCs w:val="24"/>
              </w:rPr>
              <w:t xml:space="preserve"> </w:t>
            </w:r>
            <w:r w:rsidRPr="005B0292">
              <w:rPr>
                <w:rFonts w:eastAsia="標楷體" w:cstheme="minorHAnsi"/>
                <w:szCs w:val="24"/>
              </w:rPr>
              <w:t>derived, as below. A recently derived limit to minimize elicitation of allergies to Co shows a</w:t>
            </w:r>
            <w:r>
              <w:rPr>
                <w:rFonts w:eastAsia="標楷體" w:cstheme="minorHAnsi" w:hint="eastAsia"/>
                <w:szCs w:val="24"/>
              </w:rPr>
              <w:t xml:space="preserve"> </w:t>
            </w:r>
            <w:r w:rsidRPr="005B0292">
              <w:rPr>
                <w:rFonts w:eastAsia="標楷體" w:cstheme="minorHAnsi"/>
                <w:szCs w:val="24"/>
              </w:rPr>
              <w:t>similar limit of 31-259 ppm (Fischer et al., 2015).</w:t>
            </w:r>
          </w:p>
          <w:p w:rsidR="005B0292" w:rsidRPr="005B0292" w:rsidRDefault="005B0292" w:rsidP="00DE2187">
            <w:pPr>
              <w:snapToGrid w:val="0"/>
              <w:spacing w:line="0" w:lineRule="atLeast"/>
              <w:jc w:val="both"/>
              <w:rPr>
                <w:rFonts w:eastAsia="標楷體" w:cstheme="minorHAnsi"/>
                <w:szCs w:val="24"/>
              </w:rPr>
            </w:pPr>
            <w:r w:rsidRPr="005B0292">
              <w:rPr>
                <w:rFonts w:eastAsia="標楷體" w:cstheme="minorHAnsi"/>
                <w:szCs w:val="24"/>
              </w:rPr>
              <w:t>0.5 μg/cm</w:t>
            </w:r>
            <w:r w:rsidRPr="00DE2187">
              <w:rPr>
                <w:rFonts w:eastAsia="標楷體" w:cstheme="minorHAnsi"/>
                <w:szCs w:val="24"/>
                <w:vertAlign w:val="superscript"/>
              </w:rPr>
              <w:t>2</w:t>
            </w:r>
            <w:r w:rsidRPr="005B0292">
              <w:rPr>
                <w:rFonts w:eastAsia="標楷體" w:cstheme="minorHAnsi"/>
                <w:szCs w:val="24"/>
              </w:rPr>
              <w:t>/week = 0.07 μg/cm</w:t>
            </w:r>
            <w:r w:rsidRPr="00DE2187">
              <w:rPr>
                <w:rFonts w:eastAsia="標楷體" w:cstheme="minorHAnsi"/>
                <w:szCs w:val="24"/>
                <w:vertAlign w:val="superscript"/>
              </w:rPr>
              <w:t>2</w:t>
            </w:r>
            <w:r w:rsidRPr="005B0292">
              <w:rPr>
                <w:rFonts w:eastAsia="標楷體" w:cstheme="minorHAnsi"/>
                <w:szCs w:val="24"/>
              </w:rPr>
              <w:t>/day</w:t>
            </w:r>
          </w:p>
          <w:p w:rsidR="005B0292" w:rsidRPr="005B0292" w:rsidRDefault="005B0292" w:rsidP="00DE2187">
            <w:pPr>
              <w:snapToGrid w:val="0"/>
              <w:spacing w:line="0" w:lineRule="atLeast"/>
              <w:jc w:val="both"/>
              <w:rPr>
                <w:rFonts w:eastAsia="標楷體" w:cstheme="minorHAnsi"/>
                <w:szCs w:val="24"/>
              </w:rPr>
            </w:pPr>
            <w:r w:rsidRPr="005B0292">
              <w:rPr>
                <w:rFonts w:eastAsia="標楷體" w:cstheme="minorHAnsi"/>
                <w:szCs w:val="24"/>
              </w:rPr>
              <w:t>0.07 μg/cm</w:t>
            </w:r>
            <w:r w:rsidRPr="00DE2187">
              <w:rPr>
                <w:rFonts w:eastAsia="標楷體" w:cstheme="minorHAnsi"/>
                <w:szCs w:val="24"/>
                <w:vertAlign w:val="superscript"/>
              </w:rPr>
              <w:t>2</w:t>
            </w:r>
            <w:r w:rsidRPr="005B0292">
              <w:rPr>
                <w:rFonts w:eastAsia="標楷體" w:cstheme="minorHAnsi"/>
                <w:szCs w:val="24"/>
              </w:rPr>
              <w:t>/day x 250 cm</w:t>
            </w:r>
            <w:r w:rsidRPr="00DE2187">
              <w:rPr>
                <w:rFonts w:eastAsia="標楷體" w:cstheme="minorHAnsi"/>
                <w:szCs w:val="24"/>
                <w:vertAlign w:val="superscript"/>
              </w:rPr>
              <w:t>2</w:t>
            </w:r>
            <w:r w:rsidRPr="005B0292">
              <w:rPr>
                <w:rFonts w:eastAsia="標楷體" w:cstheme="minorHAnsi"/>
                <w:szCs w:val="24"/>
              </w:rPr>
              <w:t xml:space="preserve"> = 17.5 μg/day</w:t>
            </w:r>
          </w:p>
          <w:p w:rsidR="005B0292" w:rsidRPr="00B55920" w:rsidRDefault="005B0292" w:rsidP="00DE2187">
            <w:pPr>
              <w:snapToGrid w:val="0"/>
              <w:spacing w:line="0" w:lineRule="atLeast"/>
              <w:jc w:val="both"/>
              <w:rPr>
                <w:rFonts w:eastAsia="標楷體" w:cstheme="minorHAnsi"/>
                <w:szCs w:val="24"/>
              </w:rPr>
            </w:pPr>
            <w:r w:rsidRPr="005B0292">
              <w:rPr>
                <w:rFonts w:eastAsia="標楷體" w:cstheme="minorHAnsi"/>
                <w:szCs w:val="24"/>
              </w:rPr>
              <w:t>1</w:t>
            </w:r>
            <w:bookmarkStart w:id="0" w:name="_GoBack"/>
            <w:bookmarkEnd w:id="0"/>
            <w:r w:rsidRPr="005B0292">
              <w:rPr>
                <w:rFonts w:eastAsia="標楷體" w:cstheme="minorHAnsi"/>
                <w:szCs w:val="24"/>
              </w:rPr>
              <w:t>7.5μg/day/0.5 g = 35 μg/g/day</w:t>
            </w:r>
          </w:p>
        </w:tc>
        <w:tc>
          <w:tcPr>
            <w:tcW w:w="970" w:type="pct"/>
          </w:tcPr>
          <w:p w:rsidR="0026331E" w:rsidRPr="00B55920" w:rsidRDefault="0026331E" w:rsidP="00525292">
            <w:pPr>
              <w:snapToGrid w:val="0"/>
              <w:spacing w:before="50" w:after="50" w:line="0" w:lineRule="atLeast"/>
              <w:contextualSpacing/>
              <w:rPr>
                <w:rFonts w:eastAsia="標楷體" w:cstheme="minorHAnsi"/>
                <w:szCs w:val="24"/>
              </w:rPr>
            </w:pPr>
          </w:p>
        </w:tc>
      </w:tr>
      <w:tr w:rsidR="0026331E" w:rsidRPr="00B55920" w:rsidTr="00EB6C26">
        <w:trPr>
          <w:trHeight w:val="56"/>
        </w:trPr>
        <w:tc>
          <w:tcPr>
            <w:tcW w:w="262" w:type="pct"/>
          </w:tcPr>
          <w:p w:rsidR="0026331E" w:rsidRPr="00FE5D79" w:rsidRDefault="00FE5D79" w:rsidP="00525292">
            <w:pPr>
              <w:snapToGrid w:val="0"/>
              <w:spacing w:before="50" w:after="50" w:line="0" w:lineRule="atLeast"/>
              <w:contextualSpacing/>
              <w:jc w:val="center"/>
              <w:rPr>
                <w:rFonts w:eastAsia="標楷體" w:cstheme="minorHAnsi"/>
                <w:b/>
                <w:szCs w:val="24"/>
              </w:rPr>
            </w:pPr>
            <w:r w:rsidRPr="00FE5D79">
              <w:rPr>
                <w:rFonts w:eastAsia="標楷體" w:cstheme="minorHAnsi" w:hint="eastAsia"/>
                <w:b/>
                <w:szCs w:val="24"/>
              </w:rPr>
              <w:t>6</w:t>
            </w:r>
          </w:p>
        </w:tc>
        <w:tc>
          <w:tcPr>
            <w:tcW w:w="1089" w:type="pct"/>
          </w:tcPr>
          <w:p w:rsidR="0026331E" w:rsidRPr="00FE5D79" w:rsidRDefault="00FE5D79" w:rsidP="00525292">
            <w:pPr>
              <w:snapToGrid w:val="0"/>
              <w:spacing w:before="50" w:after="50" w:line="0" w:lineRule="atLeast"/>
              <w:contextualSpacing/>
              <w:rPr>
                <w:rFonts w:eastAsia="標楷體" w:cstheme="minorHAnsi"/>
                <w:b/>
                <w:szCs w:val="24"/>
              </w:rPr>
            </w:pPr>
            <w:r w:rsidRPr="00FE5D79">
              <w:rPr>
                <w:rFonts w:eastAsia="標楷體" w:cstheme="minorHAnsi"/>
                <w:b/>
                <w:szCs w:val="24"/>
              </w:rPr>
              <w:t>PRODUCT RISK ASSESSMENT</w:t>
            </w:r>
          </w:p>
        </w:tc>
        <w:tc>
          <w:tcPr>
            <w:tcW w:w="2679" w:type="pct"/>
          </w:tcPr>
          <w:p w:rsidR="0026331E" w:rsidRDefault="00525292" w:rsidP="009C11A0">
            <w:pPr>
              <w:snapToGrid w:val="0"/>
              <w:spacing w:afterLines="50" w:after="180" w:line="0" w:lineRule="atLeast"/>
              <w:jc w:val="both"/>
              <w:rPr>
                <w:rFonts w:eastAsia="標楷體" w:cstheme="minorHAnsi"/>
                <w:szCs w:val="24"/>
              </w:rPr>
            </w:pPr>
            <w:r w:rsidRPr="00525292">
              <w:rPr>
                <w:rFonts w:eastAsia="標楷體" w:cstheme="minorHAnsi"/>
                <w:szCs w:val="24"/>
              </w:rPr>
              <w:t xml:space="preserve">Product assessments for cutaneous drug products should be prepared following the </w:t>
            </w:r>
            <w:r>
              <w:rPr>
                <w:rFonts w:eastAsia="標楷體" w:cstheme="minorHAnsi"/>
                <w:szCs w:val="24"/>
              </w:rPr>
              <w:t>guidance</w:t>
            </w:r>
            <w:r w:rsidRPr="00525292">
              <w:rPr>
                <w:rFonts w:eastAsia="標楷體" w:cstheme="minorHAnsi"/>
                <w:szCs w:val="24"/>
              </w:rPr>
              <w:t xml:space="preserve"> provided in ICH Q3D Section 5. The considerations of potential sources of </w:t>
            </w:r>
            <w:r>
              <w:rPr>
                <w:rFonts w:eastAsia="標楷體" w:cstheme="minorHAnsi"/>
                <w:szCs w:val="24"/>
              </w:rPr>
              <w:t>EI, calculation options</w:t>
            </w:r>
            <w:r w:rsidRPr="00525292">
              <w:rPr>
                <w:rFonts w:eastAsia="標楷體" w:cstheme="minorHAnsi"/>
                <w:szCs w:val="24"/>
              </w:rPr>
              <w:t xml:space="preserve"> and considerations for additional controls are the same for prod</w:t>
            </w:r>
            <w:r>
              <w:rPr>
                <w:rFonts w:eastAsia="標楷體" w:cstheme="minorHAnsi"/>
                <w:szCs w:val="24"/>
              </w:rPr>
              <w:t>ucts for the cutaneous route of</w:t>
            </w:r>
            <w:r w:rsidRPr="00525292">
              <w:rPr>
                <w:rFonts w:eastAsia="標楷體" w:cstheme="minorHAnsi"/>
                <w:szCs w:val="24"/>
              </w:rPr>
              <w:t xml:space="preserve"> administration as for products for the oral, parenteral and inhalation routes of administration.</w:t>
            </w:r>
          </w:p>
          <w:p w:rsidR="00A71E9B" w:rsidRDefault="00A71E9B" w:rsidP="009C11A0">
            <w:pPr>
              <w:snapToGrid w:val="0"/>
              <w:spacing w:afterLines="50" w:after="180" w:line="0" w:lineRule="atLeast"/>
              <w:jc w:val="both"/>
              <w:rPr>
                <w:rFonts w:eastAsia="標楷體" w:cstheme="minorHAnsi"/>
                <w:szCs w:val="24"/>
              </w:rPr>
            </w:pPr>
            <w:r w:rsidRPr="00A71E9B">
              <w:rPr>
                <w:rFonts w:eastAsia="標楷體" w:cstheme="minorHAnsi"/>
                <w:szCs w:val="24"/>
              </w:rPr>
              <w:t>For Ni and Co, in addition to considering the EI levels in the drug p</w:t>
            </w:r>
            <w:r>
              <w:rPr>
                <w:rFonts w:eastAsia="標楷體" w:cstheme="minorHAnsi"/>
                <w:szCs w:val="24"/>
              </w:rPr>
              <w:t>roduct relative to the PDE, the</w:t>
            </w:r>
            <w:r w:rsidRPr="00A71E9B">
              <w:rPr>
                <w:rFonts w:eastAsia="標楷體" w:cstheme="minorHAnsi"/>
                <w:szCs w:val="24"/>
              </w:rPr>
              <w:t xml:space="preserve"> concentration of this EI (μg/g) in the drug product should b</w:t>
            </w:r>
            <w:r>
              <w:rPr>
                <w:rFonts w:eastAsia="標楷體" w:cstheme="minorHAnsi"/>
                <w:szCs w:val="24"/>
              </w:rPr>
              <w:t>e assessed relative to the CTCL</w:t>
            </w:r>
            <w:r w:rsidRPr="00A71E9B">
              <w:rPr>
                <w:rFonts w:eastAsia="標楷體" w:cstheme="minorHAnsi"/>
                <w:szCs w:val="24"/>
              </w:rPr>
              <w:t xml:space="preserve"> identified in Table 1. The product risk assessment should </w:t>
            </w:r>
            <w:r w:rsidRPr="00A71E9B">
              <w:rPr>
                <w:rFonts w:eastAsia="標楷體" w:cstheme="minorHAnsi"/>
                <w:szCs w:val="24"/>
              </w:rPr>
              <w:lastRenderedPageBreak/>
              <w:t>therefor</w:t>
            </w:r>
            <w:r>
              <w:rPr>
                <w:rFonts w:eastAsia="標楷體" w:cstheme="minorHAnsi"/>
                <w:szCs w:val="24"/>
              </w:rPr>
              <w:t>e confirm that the total Ni and</w:t>
            </w:r>
            <w:r w:rsidRPr="00A71E9B">
              <w:rPr>
                <w:rFonts w:eastAsia="標楷體" w:cstheme="minorHAnsi"/>
                <w:szCs w:val="24"/>
              </w:rPr>
              <w:t xml:space="preserve"> Co level (μg/day) is at or below the PDE </w:t>
            </w:r>
            <w:r w:rsidRPr="00D77967">
              <w:rPr>
                <w:rFonts w:eastAsia="標楷體" w:cstheme="minorHAnsi"/>
                <w:szCs w:val="24"/>
                <w:u w:val="single"/>
              </w:rPr>
              <w:t>and</w:t>
            </w:r>
            <w:r w:rsidRPr="00A71E9B">
              <w:rPr>
                <w:rFonts w:eastAsia="標楷體" w:cstheme="minorHAnsi"/>
                <w:szCs w:val="24"/>
              </w:rPr>
              <w:t xml:space="preserve"> that their respec</w:t>
            </w:r>
            <w:r>
              <w:rPr>
                <w:rFonts w:eastAsia="標楷體" w:cstheme="minorHAnsi"/>
                <w:szCs w:val="24"/>
              </w:rPr>
              <w:t>tive concentrations in the drug</w:t>
            </w:r>
            <w:r w:rsidRPr="00A71E9B">
              <w:rPr>
                <w:rFonts w:eastAsia="標楷體" w:cstheme="minorHAnsi"/>
                <w:szCs w:val="24"/>
              </w:rPr>
              <w:t xml:space="preserve"> product does not exceed the CTCL shown in Table 1.</w:t>
            </w:r>
          </w:p>
          <w:p w:rsidR="00A71E9B" w:rsidRDefault="00A71E9B" w:rsidP="009C11A0">
            <w:pPr>
              <w:snapToGrid w:val="0"/>
              <w:spacing w:afterLines="50" w:after="180" w:line="0" w:lineRule="atLeast"/>
              <w:jc w:val="both"/>
              <w:rPr>
                <w:rFonts w:eastAsia="標楷體" w:cstheme="minorHAnsi"/>
                <w:szCs w:val="24"/>
              </w:rPr>
            </w:pPr>
            <w:r w:rsidRPr="00A71E9B">
              <w:rPr>
                <w:rFonts w:eastAsia="標楷體" w:cstheme="minorHAnsi"/>
                <w:szCs w:val="24"/>
              </w:rPr>
              <w:t>As described in ICH Q3D Section 5.2, the drug product r</w:t>
            </w:r>
            <w:r>
              <w:rPr>
                <w:rFonts w:eastAsia="標楷體" w:cstheme="minorHAnsi"/>
                <w:szCs w:val="24"/>
              </w:rPr>
              <w:t>isk assessment is summarized by</w:t>
            </w:r>
            <w:r w:rsidRPr="00A71E9B">
              <w:rPr>
                <w:rFonts w:eastAsia="標楷體" w:cstheme="minorHAnsi"/>
                <w:szCs w:val="24"/>
              </w:rPr>
              <w:t xml:space="preserve"> reviewing relevant product or component specific data combined</w:t>
            </w:r>
            <w:r>
              <w:rPr>
                <w:rFonts w:eastAsia="標楷體" w:cstheme="minorHAnsi"/>
                <w:szCs w:val="24"/>
              </w:rPr>
              <w:t xml:space="preserve"> with information and knowledge</w:t>
            </w:r>
            <w:r w:rsidRPr="00A71E9B">
              <w:rPr>
                <w:rFonts w:eastAsia="標楷體" w:cstheme="minorHAnsi"/>
                <w:szCs w:val="24"/>
              </w:rPr>
              <w:t xml:space="preserve"> gained across products or processes to identify the significant prob</w:t>
            </w:r>
            <w:r>
              <w:rPr>
                <w:rFonts w:eastAsia="標楷體" w:cstheme="minorHAnsi"/>
                <w:szCs w:val="24"/>
              </w:rPr>
              <w:t>able EI that may be observed in</w:t>
            </w:r>
            <w:r w:rsidRPr="00A71E9B">
              <w:rPr>
                <w:rFonts w:eastAsia="標楷體" w:cstheme="minorHAnsi"/>
                <w:szCs w:val="24"/>
              </w:rPr>
              <w:t xml:space="preserve"> the drug product.</w:t>
            </w:r>
          </w:p>
          <w:p w:rsidR="00A71E9B" w:rsidRDefault="00A71E9B" w:rsidP="009C11A0">
            <w:pPr>
              <w:snapToGrid w:val="0"/>
              <w:spacing w:afterLines="50" w:after="180" w:line="0" w:lineRule="atLeast"/>
              <w:jc w:val="both"/>
              <w:rPr>
                <w:rFonts w:eastAsia="標楷體" w:cstheme="minorHAnsi"/>
                <w:szCs w:val="24"/>
              </w:rPr>
            </w:pPr>
            <w:r w:rsidRPr="00A71E9B">
              <w:rPr>
                <w:rFonts w:eastAsia="標楷體" w:cstheme="minorHAnsi"/>
                <w:szCs w:val="24"/>
              </w:rPr>
              <w:t>The summary should consider the significance of the observed or pre</w:t>
            </w:r>
            <w:r>
              <w:rPr>
                <w:rFonts w:eastAsia="標楷體" w:cstheme="minorHAnsi"/>
                <w:szCs w:val="24"/>
              </w:rPr>
              <w:t>dicted level of the EI relative</w:t>
            </w:r>
            <w:r w:rsidRPr="00A71E9B">
              <w:rPr>
                <w:rFonts w:eastAsia="標楷體" w:cstheme="minorHAnsi"/>
                <w:szCs w:val="24"/>
              </w:rPr>
              <w:t xml:space="preserve"> to the corresponding PDE and in the case of Ni and Co, the N</w:t>
            </w:r>
            <w:r>
              <w:rPr>
                <w:rFonts w:eastAsia="標楷體" w:cstheme="minorHAnsi"/>
                <w:szCs w:val="24"/>
              </w:rPr>
              <w:t>i- and Co-CTCL. As a measure of</w:t>
            </w:r>
            <w:r w:rsidRPr="00A71E9B">
              <w:rPr>
                <w:rFonts w:eastAsia="標楷體" w:cstheme="minorHAnsi"/>
                <w:szCs w:val="24"/>
              </w:rPr>
              <w:t xml:space="preserve"> the significance of the observed EI level, a control threshold is de</w:t>
            </w:r>
            <w:r>
              <w:rPr>
                <w:rFonts w:eastAsia="標楷體" w:cstheme="minorHAnsi"/>
                <w:szCs w:val="24"/>
              </w:rPr>
              <w:t>fined as a level that is 30% of</w:t>
            </w:r>
            <w:r w:rsidRPr="00A71E9B">
              <w:rPr>
                <w:rFonts w:eastAsia="標楷體" w:cstheme="minorHAnsi"/>
                <w:szCs w:val="24"/>
              </w:rPr>
              <w:t xml:space="preserve"> the established PDE (and CTCL for Ni and Co) in the drug product. The control thresh</w:t>
            </w:r>
            <w:r>
              <w:rPr>
                <w:rFonts w:eastAsia="標楷體" w:cstheme="minorHAnsi"/>
                <w:szCs w:val="24"/>
              </w:rPr>
              <w:t>old may be</w:t>
            </w:r>
            <w:r w:rsidRPr="00A71E9B">
              <w:rPr>
                <w:rFonts w:eastAsia="標楷體" w:cstheme="minorHAnsi"/>
                <w:szCs w:val="24"/>
              </w:rPr>
              <w:t xml:space="preserve"> used to determine if additional controls may be required. If t</w:t>
            </w:r>
            <w:r>
              <w:rPr>
                <w:rFonts w:eastAsia="標楷體" w:cstheme="minorHAnsi"/>
                <w:szCs w:val="24"/>
              </w:rPr>
              <w:t>he total EI level - observed or</w:t>
            </w:r>
            <w:r w:rsidRPr="00A71E9B">
              <w:rPr>
                <w:rFonts w:eastAsia="標楷體" w:cstheme="minorHAnsi"/>
                <w:szCs w:val="24"/>
              </w:rPr>
              <w:t xml:space="preserve"> predicted EI level (μg/day) or CTCL (μg/g)- from all sources in t</w:t>
            </w:r>
            <w:r>
              <w:rPr>
                <w:rFonts w:eastAsia="標楷體" w:cstheme="minorHAnsi"/>
                <w:szCs w:val="24"/>
              </w:rPr>
              <w:t>he drug product is consistently</w:t>
            </w:r>
            <w:r w:rsidRPr="00A71E9B">
              <w:rPr>
                <w:rFonts w:eastAsia="標楷體" w:cstheme="minorHAnsi"/>
                <w:szCs w:val="24"/>
              </w:rPr>
              <w:t xml:space="preserve"> less than 30% of the established PDE, then additional controls</w:t>
            </w:r>
            <w:r>
              <w:rPr>
                <w:rFonts w:eastAsia="標楷體" w:cstheme="minorHAnsi"/>
                <w:szCs w:val="24"/>
              </w:rPr>
              <w:t xml:space="preserve"> are not required, provided the</w:t>
            </w:r>
            <w:r w:rsidRPr="00A71E9B">
              <w:rPr>
                <w:rFonts w:eastAsia="標楷體" w:cstheme="minorHAnsi"/>
                <w:szCs w:val="24"/>
              </w:rPr>
              <w:t xml:space="preserve"> applicant has appropriately assessed the data and demonstrated</w:t>
            </w:r>
            <w:r>
              <w:rPr>
                <w:rFonts w:eastAsia="標楷體" w:cstheme="minorHAnsi"/>
                <w:szCs w:val="24"/>
              </w:rPr>
              <w:t xml:space="preserve"> adequate controls on elemental</w:t>
            </w:r>
            <w:r w:rsidRPr="00A71E9B">
              <w:rPr>
                <w:rFonts w:eastAsia="標楷體" w:cstheme="minorHAnsi"/>
                <w:szCs w:val="24"/>
              </w:rPr>
              <w:t xml:space="preserve"> impurities.</w:t>
            </w:r>
          </w:p>
          <w:p w:rsidR="00A71E9B" w:rsidRDefault="00A71E9B" w:rsidP="009C11A0">
            <w:pPr>
              <w:snapToGrid w:val="0"/>
              <w:spacing w:afterLines="50" w:after="180" w:line="0" w:lineRule="atLeast"/>
              <w:jc w:val="both"/>
              <w:rPr>
                <w:rFonts w:eastAsia="標楷體" w:cstheme="minorHAnsi"/>
                <w:szCs w:val="24"/>
              </w:rPr>
            </w:pPr>
            <w:r w:rsidRPr="00A71E9B">
              <w:rPr>
                <w:rFonts w:eastAsia="標楷體" w:cstheme="minorHAnsi"/>
                <w:szCs w:val="24"/>
              </w:rPr>
              <w:t xml:space="preserve">Since the maximum total daily dose for cutaneous products is not always so clearly stated, </w:t>
            </w:r>
            <w:r>
              <w:rPr>
                <w:rFonts w:eastAsia="標楷體" w:cstheme="minorHAnsi"/>
                <w:szCs w:val="24"/>
              </w:rPr>
              <w:t>a</w:t>
            </w:r>
            <w:r w:rsidRPr="00A71E9B">
              <w:rPr>
                <w:rFonts w:eastAsia="標楷體" w:cstheme="minorHAnsi"/>
                <w:szCs w:val="24"/>
              </w:rPr>
              <w:t xml:space="preserve"> prerequisite for the product risk assessment is a justified estimatio</w:t>
            </w:r>
            <w:r>
              <w:rPr>
                <w:rFonts w:eastAsia="標楷體" w:cstheme="minorHAnsi"/>
                <w:szCs w:val="24"/>
              </w:rPr>
              <w:t>n of a worst-case exposure that</w:t>
            </w:r>
            <w:r w:rsidRPr="00A71E9B">
              <w:rPr>
                <w:rFonts w:eastAsia="標楷體" w:cstheme="minorHAnsi"/>
                <w:szCs w:val="24"/>
              </w:rPr>
              <w:t xml:space="preserve"> can form the basis for the assessment. (SCCP, 2006</w:t>
            </w:r>
            <w:r>
              <w:rPr>
                <w:rFonts w:eastAsia="標楷體" w:cstheme="minorHAnsi"/>
                <w:szCs w:val="24"/>
              </w:rPr>
              <w:t>; Long, 1991, Api et al., 2008)</w:t>
            </w:r>
          </w:p>
          <w:p w:rsidR="00A71E9B" w:rsidRPr="00B55920" w:rsidRDefault="00A71E9B" w:rsidP="009C11A0">
            <w:pPr>
              <w:snapToGrid w:val="0"/>
              <w:spacing w:afterLines="50" w:after="180" w:line="0" w:lineRule="atLeast"/>
              <w:jc w:val="both"/>
              <w:rPr>
                <w:rFonts w:eastAsia="標楷體" w:cstheme="minorHAnsi"/>
                <w:szCs w:val="24"/>
              </w:rPr>
            </w:pPr>
            <w:r w:rsidRPr="00A71E9B">
              <w:rPr>
                <w:rFonts w:eastAsia="標楷體" w:cstheme="minorHAnsi"/>
                <w:szCs w:val="24"/>
              </w:rPr>
              <w:t>Dermal products differ from oral, parenteral or inhalation produ</w:t>
            </w:r>
            <w:r>
              <w:rPr>
                <w:rFonts w:eastAsia="標楷體" w:cstheme="minorHAnsi"/>
                <w:szCs w:val="24"/>
              </w:rPr>
              <w:t>cts in that they may be removed</w:t>
            </w:r>
            <w:r w:rsidRPr="00A71E9B">
              <w:rPr>
                <w:rFonts w:eastAsia="標楷體" w:cstheme="minorHAnsi"/>
                <w:szCs w:val="24"/>
              </w:rPr>
              <w:t xml:space="preserve"> or rinsed from the area of application. In evaluating the potential</w:t>
            </w:r>
            <w:r>
              <w:rPr>
                <w:rFonts w:eastAsia="標楷體" w:cstheme="minorHAnsi"/>
                <w:szCs w:val="24"/>
              </w:rPr>
              <w:t xml:space="preserve"> EI to which the patient may be</w:t>
            </w:r>
            <w:r w:rsidRPr="00A71E9B">
              <w:rPr>
                <w:rFonts w:eastAsia="標楷體" w:cstheme="minorHAnsi"/>
                <w:szCs w:val="24"/>
              </w:rPr>
              <w:t xml:space="preserve"> exposed, it may be important to evaluate the retention time of the drug product during typical</w:t>
            </w:r>
            <w:r>
              <w:rPr>
                <w:rFonts w:eastAsia="標楷體" w:cstheme="minorHAnsi" w:hint="eastAsia"/>
                <w:szCs w:val="24"/>
              </w:rPr>
              <w:t xml:space="preserve"> </w:t>
            </w:r>
            <w:r w:rsidRPr="00A71E9B">
              <w:rPr>
                <w:rFonts w:eastAsia="標楷體" w:cstheme="minorHAnsi"/>
                <w:szCs w:val="24"/>
              </w:rPr>
              <w:t>conditions of use. For example, certain products such as shampo</w:t>
            </w:r>
            <w:r>
              <w:rPr>
                <w:rFonts w:eastAsia="標楷體" w:cstheme="minorHAnsi"/>
                <w:szCs w:val="24"/>
              </w:rPr>
              <w:t>os have a 446 short application</w:t>
            </w:r>
            <w:r w:rsidRPr="00A71E9B">
              <w:rPr>
                <w:rFonts w:eastAsia="標楷體" w:cstheme="minorHAnsi"/>
                <w:szCs w:val="24"/>
              </w:rPr>
              <w:t xml:space="preserve"> duration time. Thus, the risk assessment may propose an adjustme</w:t>
            </w:r>
            <w:r>
              <w:rPr>
                <w:rFonts w:eastAsia="標楷體" w:cstheme="minorHAnsi"/>
                <w:szCs w:val="24"/>
              </w:rPr>
              <w:t>nt by use of a retention factor</w:t>
            </w:r>
            <w:r w:rsidRPr="00A71E9B">
              <w:rPr>
                <w:rFonts w:eastAsia="標楷體" w:cstheme="minorHAnsi"/>
                <w:szCs w:val="24"/>
              </w:rPr>
              <w:t xml:space="preserve"> (see Module 1 of the ICH Q3D training package for more information on reten</w:t>
            </w:r>
            <w:r>
              <w:rPr>
                <w:rFonts w:eastAsia="標楷體" w:cstheme="minorHAnsi"/>
                <w:szCs w:val="24"/>
              </w:rPr>
              <w:t>tion time;</w:t>
            </w:r>
            <w:r w:rsidRPr="00A71E9B">
              <w:rPr>
                <w:rFonts w:eastAsia="標楷體" w:cstheme="minorHAnsi"/>
                <w:szCs w:val="24"/>
              </w:rPr>
              <w:t xml:space="preserve"> https://www.ich.org/products/guidelines/quality/article/quality-</w:t>
            </w:r>
            <w:r>
              <w:rPr>
                <w:rFonts w:eastAsia="標楷體" w:cstheme="minorHAnsi"/>
                <w:szCs w:val="24"/>
              </w:rPr>
              <w:t>guidelines.html). If the PDE is</w:t>
            </w:r>
            <w:r w:rsidRPr="00A71E9B">
              <w:rPr>
                <w:rFonts w:eastAsia="標楷體" w:cstheme="minorHAnsi"/>
                <w:szCs w:val="24"/>
              </w:rPr>
              <w:t xml:space="preserve"> adjusted in this manner, the new level proposed should be referre</w:t>
            </w:r>
            <w:r>
              <w:rPr>
                <w:rFonts w:eastAsia="標楷體" w:cstheme="minorHAnsi"/>
                <w:szCs w:val="24"/>
              </w:rPr>
              <w:t>d to as an Acceptable Level and</w:t>
            </w:r>
            <w:r w:rsidRPr="00A71E9B">
              <w:rPr>
                <w:rFonts w:eastAsia="標楷體" w:cstheme="minorHAnsi"/>
                <w:szCs w:val="24"/>
              </w:rPr>
              <w:t xml:space="preserve"> is subject to consideration by the relevant authorities on a case-by-case basis.</w:t>
            </w:r>
          </w:p>
        </w:tc>
        <w:tc>
          <w:tcPr>
            <w:tcW w:w="970" w:type="pct"/>
          </w:tcPr>
          <w:p w:rsidR="0026331E" w:rsidRPr="00B55920" w:rsidRDefault="0026331E" w:rsidP="00525292">
            <w:pPr>
              <w:snapToGrid w:val="0"/>
              <w:spacing w:before="50" w:after="50" w:line="0" w:lineRule="atLeast"/>
              <w:contextualSpacing/>
              <w:rPr>
                <w:rFonts w:eastAsia="標楷體" w:cstheme="minorHAnsi"/>
                <w:szCs w:val="24"/>
              </w:rPr>
            </w:pPr>
          </w:p>
        </w:tc>
      </w:tr>
      <w:tr w:rsidR="0026331E" w:rsidRPr="00B55920" w:rsidTr="00EB6C26">
        <w:trPr>
          <w:trHeight w:val="56"/>
        </w:trPr>
        <w:tc>
          <w:tcPr>
            <w:tcW w:w="262" w:type="pct"/>
          </w:tcPr>
          <w:p w:rsidR="0026331E" w:rsidRPr="00FE5D79" w:rsidRDefault="00133508" w:rsidP="00525292">
            <w:pPr>
              <w:snapToGrid w:val="0"/>
              <w:spacing w:before="50" w:after="50" w:line="0" w:lineRule="atLeast"/>
              <w:contextualSpacing/>
              <w:jc w:val="center"/>
              <w:rPr>
                <w:rFonts w:eastAsia="標楷體" w:cstheme="minorHAnsi"/>
                <w:b/>
                <w:szCs w:val="24"/>
              </w:rPr>
            </w:pPr>
            <w:r>
              <w:rPr>
                <w:rFonts w:eastAsia="標楷體" w:cstheme="minorHAnsi" w:hint="eastAsia"/>
                <w:b/>
                <w:szCs w:val="24"/>
              </w:rPr>
              <w:lastRenderedPageBreak/>
              <w:t>7</w:t>
            </w:r>
          </w:p>
        </w:tc>
        <w:tc>
          <w:tcPr>
            <w:tcW w:w="1089" w:type="pct"/>
          </w:tcPr>
          <w:p w:rsidR="0026331E" w:rsidRPr="00FE5D79" w:rsidRDefault="00133508" w:rsidP="00133508">
            <w:pPr>
              <w:snapToGrid w:val="0"/>
              <w:spacing w:before="50" w:after="50" w:line="0" w:lineRule="atLeast"/>
              <w:contextualSpacing/>
              <w:rPr>
                <w:rFonts w:eastAsia="標楷體" w:cstheme="minorHAnsi"/>
                <w:b/>
                <w:szCs w:val="24"/>
              </w:rPr>
            </w:pPr>
            <w:r w:rsidRPr="00133508">
              <w:rPr>
                <w:rFonts w:eastAsia="標楷體" w:cstheme="minorHAnsi"/>
                <w:b/>
                <w:szCs w:val="24"/>
              </w:rPr>
              <w:t>CUTANEOUS PDE VALUES</w:t>
            </w:r>
          </w:p>
        </w:tc>
        <w:tc>
          <w:tcPr>
            <w:tcW w:w="2679" w:type="pct"/>
          </w:tcPr>
          <w:p w:rsidR="009C5738" w:rsidRDefault="009E4CD5" w:rsidP="009C11A0">
            <w:pPr>
              <w:snapToGrid w:val="0"/>
              <w:spacing w:afterLines="50" w:after="180" w:line="0" w:lineRule="atLeast"/>
              <w:jc w:val="both"/>
              <w:rPr>
                <w:rFonts w:eastAsia="標楷體" w:cstheme="minorHAnsi"/>
                <w:szCs w:val="24"/>
              </w:rPr>
            </w:pPr>
            <w:r w:rsidRPr="009E4CD5">
              <w:rPr>
                <w:rFonts w:eastAsia="標楷體" w:cstheme="minorHAnsi"/>
                <w:szCs w:val="24"/>
              </w:rPr>
              <w:t>The calculated PDE for the cutaneous and transcutaneous rou</w:t>
            </w:r>
            <w:r>
              <w:rPr>
                <w:rFonts w:eastAsia="標楷體" w:cstheme="minorHAnsi"/>
                <w:szCs w:val="24"/>
              </w:rPr>
              <w:t>te are listed in Table 1. To be</w:t>
            </w:r>
            <w:r w:rsidRPr="009E4CD5">
              <w:rPr>
                <w:rFonts w:eastAsia="標楷體" w:cstheme="minorHAnsi"/>
                <w:szCs w:val="24"/>
              </w:rPr>
              <w:t xml:space="preserve"> compliant with Q3D, for sensitizing EI (Ni, Co), a second limit-</w:t>
            </w:r>
            <w:r>
              <w:rPr>
                <w:rFonts w:eastAsia="標楷體" w:cstheme="minorHAnsi"/>
                <w:szCs w:val="24"/>
              </w:rPr>
              <w:t xml:space="preserve"> the CTCL (μg/g/day)- will also need to be met.</w:t>
            </w:r>
            <w:r w:rsidRPr="009E4CD5">
              <w:rPr>
                <w:rFonts w:eastAsia="標楷體" w:cstheme="minorHAnsi"/>
                <w:szCs w:val="24"/>
              </w:rPr>
              <w:t xml:space="preserve"> </w:t>
            </w:r>
          </w:p>
          <w:p w:rsidR="009C5738" w:rsidRDefault="009E4CD5" w:rsidP="009C11A0">
            <w:pPr>
              <w:snapToGrid w:val="0"/>
              <w:spacing w:afterLines="50" w:after="180" w:line="0" w:lineRule="atLeast"/>
              <w:jc w:val="both"/>
              <w:rPr>
                <w:rFonts w:eastAsia="標楷體" w:cstheme="minorHAnsi"/>
                <w:szCs w:val="24"/>
              </w:rPr>
            </w:pPr>
            <w:r w:rsidRPr="009E4CD5">
              <w:rPr>
                <w:rFonts w:eastAsia="標楷體" w:cstheme="minorHAnsi"/>
                <w:szCs w:val="24"/>
              </w:rPr>
              <w:t>There are insufficient data to set PDEs by any route of admi</w:t>
            </w:r>
            <w:r>
              <w:rPr>
                <w:rFonts w:eastAsia="標楷體" w:cstheme="minorHAnsi"/>
                <w:szCs w:val="24"/>
              </w:rPr>
              <w:t>nistration for iridium, osmium,</w:t>
            </w:r>
            <w:r w:rsidRPr="009E4CD5">
              <w:rPr>
                <w:rFonts w:eastAsia="標楷體" w:cstheme="minorHAnsi"/>
                <w:szCs w:val="24"/>
              </w:rPr>
              <w:t xml:space="preserve"> rhodium, and ruthenium. For these elements, the palladium PDE for</w:t>
            </w:r>
            <w:r>
              <w:rPr>
                <w:rFonts w:eastAsia="標楷體" w:cstheme="minorHAnsi"/>
                <w:szCs w:val="24"/>
              </w:rPr>
              <w:t xml:space="preserve"> the relevant route will apply.</w:t>
            </w:r>
            <w:r w:rsidRPr="009E4CD5">
              <w:rPr>
                <w:rFonts w:eastAsia="標楷體" w:cstheme="minorHAnsi"/>
                <w:szCs w:val="24"/>
              </w:rPr>
              <w:t xml:space="preserve"> </w:t>
            </w:r>
          </w:p>
          <w:p w:rsidR="0026331E" w:rsidRPr="00B55920" w:rsidRDefault="009E4CD5" w:rsidP="009C11A0">
            <w:pPr>
              <w:snapToGrid w:val="0"/>
              <w:spacing w:afterLines="50" w:after="180" w:line="0" w:lineRule="atLeast"/>
              <w:jc w:val="both"/>
              <w:rPr>
                <w:rFonts w:eastAsia="標楷體" w:cstheme="minorHAnsi"/>
                <w:szCs w:val="24"/>
              </w:rPr>
            </w:pPr>
            <w:r w:rsidRPr="009E4CD5">
              <w:rPr>
                <w:rFonts w:eastAsia="標楷體" w:cstheme="minorHAnsi"/>
                <w:szCs w:val="24"/>
              </w:rPr>
              <w:t>Table 2 provides example concentrations for a drug product with a daily dose of 10 g.</w:t>
            </w:r>
          </w:p>
        </w:tc>
        <w:tc>
          <w:tcPr>
            <w:tcW w:w="970" w:type="pct"/>
          </w:tcPr>
          <w:p w:rsidR="0026331E" w:rsidRPr="00B55920" w:rsidRDefault="0026331E" w:rsidP="00525292">
            <w:pPr>
              <w:snapToGrid w:val="0"/>
              <w:spacing w:before="50" w:after="50" w:line="0" w:lineRule="atLeast"/>
              <w:contextualSpacing/>
              <w:rPr>
                <w:rFonts w:eastAsia="標楷體" w:cstheme="minorHAnsi"/>
                <w:szCs w:val="24"/>
              </w:rPr>
            </w:pPr>
          </w:p>
        </w:tc>
      </w:tr>
      <w:tr w:rsidR="0026331E" w:rsidRPr="00B55920" w:rsidTr="00EB6C26">
        <w:trPr>
          <w:trHeight w:val="56"/>
        </w:trPr>
        <w:tc>
          <w:tcPr>
            <w:tcW w:w="262" w:type="pct"/>
          </w:tcPr>
          <w:p w:rsidR="0026331E" w:rsidRPr="00FE5D79" w:rsidRDefault="0026331E" w:rsidP="00525292">
            <w:pPr>
              <w:snapToGrid w:val="0"/>
              <w:spacing w:before="50" w:after="50" w:line="0" w:lineRule="atLeast"/>
              <w:contextualSpacing/>
              <w:jc w:val="center"/>
              <w:rPr>
                <w:rFonts w:eastAsia="標楷體" w:cstheme="minorHAnsi"/>
                <w:b/>
                <w:szCs w:val="24"/>
              </w:rPr>
            </w:pPr>
          </w:p>
        </w:tc>
        <w:tc>
          <w:tcPr>
            <w:tcW w:w="1089" w:type="pct"/>
          </w:tcPr>
          <w:p w:rsidR="0026331E" w:rsidRPr="00FE5D79" w:rsidRDefault="009C5738" w:rsidP="00525292">
            <w:pPr>
              <w:snapToGrid w:val="0"/>
              <w:spacing w:before="50" w:after="50" w:line="0" w:lineRule="atLeast"/>
              <w:contextualSpacing/>
              <w:rPr>
                <w:rFonts w:eastAsia="標楷體" w:cstheme="minorHAnsi"/>
                <w:b/>
                <w:szCs w:val="24"/>
              </w:rPr>
            </w:pPr>
            <w:r w:rsidRPr="009C5738">
              <w:rPr>
                <w:rFonts w:eastAsia="標楷體" w:cstheme="minorHAnsi"/>
                <w:b/>
                <w:szCs w:val="24"/>
              </w:rPr>
              <w:t>Table 1: Cutaneous products – PDE, CTCL and elements to be included in risk assessment</w:t>
            </w:r>
          </w:p>
        </w:tc>
        <w:tc>
          <w:tcPr>
            <w:tcW w:w="2679" w:type="pct"/>
          </w:tcPr>
          <w:p w:rsidR="0026331E" w:rsidRDefault="009C5738" w:rsidP="00525292">
            <w:pPr>
              <w:snapToGrid w:val="0"/>
              <w:spacing w:beforeLines="50" w:before="180" w:afterLines="50" w:after="180" w:line="0" w:lineRule="atLeast"/>
              <w:jc w:val="both"/>
              <w:rPr>
                <w:rFonts w:eastAsia="標楷體" w:cstheme="minorHAnsi"/>
                <w:szCs w:val="24"/>
              </w:rPr>
            </w:pPr>
            <w:r>
              <w:rPr>
                <w:noProof/>
              </w:rPr>
              <w:drawing>
                <wp:inline distT="0" distB="0" distL="0" distR="0" wp14:anchorId="7C5BFDC2" wp14:editId="57AA373E">
                  <wp:extent cx="5175250" cy="4177030"/>
                  <wp:effectExtent l="0" t="0" r="635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75250" cy="4177030"/>
                          </a:xfrm>
                          <a:prstGeom prst="rect">
                            <a:avLst/>
                          </a:prstGeom>
                        </pic:spPr>
                      </pic:pic>
                    </a:graphicData>
                  </a:graphic>
                </wp:inline>
              </w:drawing>
            </w:r>
          </w:p>
          <w:p w:rsidR="009C5738" w:rsidRPr="009C5738" w:rsidRDefault="009C5738" w:rsidP="009C5738">
            <w:pPr>
              <w:snapToGrid w:val="0"/>
              <w:spacing w:beforeLines="50" w:before="180" w:afterLines="50" w:after="180" w:line="0" w:lineRule="atLeast"/>
              <w:jc w:val="both"/>
              <w:rPr>
                <w:rFonts w:eastAsia="標楷體" w:cstheme="minorHAnsi"/>
                <w:szCs w:val="24"/>
              </w:rPr>
            </w:pPr>
            <w:r w:rsidRPr="009C5738">
              <w:rPr>
                <w:rFonts w:eastAsia="標楷體" w:cstheme="minorHAnsi"/>
                <w:szCs w:val="24"/>
                <w:vertAlign w:val="superscript"/>
              </w:rPr>
              <w:t>1</w:t>
            </w:r>
            <w:r w:rsidRPr="009C5738">
              <w:rPr>
                <w:rFonts w:eastAsia="標楷體" w:cstheme="minorHAnsi"/>
                <w:szCs w:val="24"/>
              </w:rPr>
              <w:t xml:space="preserve"> Intentionally added elements should always be included in the Risk Assessment.</w:t>
            </w:r>
          </w:p>
          <w:p w:rsidR="009C5738" w:rsidRPr="009C5738" w:rsidRDefault="009C5738" w:rsidP="009C5738">
            <w:pPr>
              <w:snapToGrid w:val="0"/>
              <w:spacing w:beforeLines="50" w:before="180" w:afterLines="50" w:after="180" w:line="0" w:lineRule="atLeast"/>
              <w:jc w:val="both"/>
              <w:rPr>
                <w:rFonts w:eastAsia="標楷體" w:cstheme="minorHAnsi"/>
                <w:szCs w:val="24"/>
              </w:rPr>
            </w:pPr>
            <w:r w:rsidRPr="009C5738">
              <w:rPr>
                <w:rFonts w:eastAsia="標楷體" w:cstheme="minorHAnsi"/>
                <w:szCs w:val="24"/>
                <w:vertAlign w:val="superscript"/>
              </w:rPr>
              <w:lastRenderedPageBreak/>
              <w:t>2</w:t>
            </w:r>
            <w:r w:rsidRPr="009C5738">
              <w:rPr>
                <w:rFonts w:eastAsia="標楷體" w:cstheme="minorHAnsi"/>
                <w:szCs w:val="24"/>
              </w:rPr>
              <w:t xml:space="preserve"> Class 2B elements were excluded from the assessment of oral, parenteral and inh</w:t>
            </w:r>
            <w:r>
              <w:rPr>
                <w:rFonts w:eastAsia="標楷體" w:cstheme="minorHAnsi"/>
                <w:szCs w:val="24"/>
              </w:rPr>
              <w:t>alation products due to the low</w:t>
            </w:r>
            <w:r>
              <w:rPr>
                <w:rFonts w:eastAsia="標楷體" w:cstheme="minorHAnsi" w:hint="eastAsia"/>
                <w:szCs w:val="24"/>
              </w:rPr>
              <w:t xml:space="preserve"> </w:t>
            </w:r>
            <w:r w:rsidRPr="009C5738">
              <w:rPr>
                <w:rFonts w:eastAsia="標楷體" w:cstheme="minorHAnsi"/>
                <w:szCs w:val="24"/>
              </w:rPr>
              <w:t>likelihood that they would be present if not intentionally added (see section 4 of ICH Q3D).</w:t>
            </w:r>
          </w:p>
          <w:p w:rsidR="009C5738" w:rsidRDefault="009C5738" w:rsidP="009C5738">
            <w:pPr>
              <w:snapToGrid w:val="0"/>
              <w:spacing w:beforeLines="50" w:before="180" w:afterLines="50" w:after="180" w:line="0" w:lineRule="atLeast"/>
              <w:jc w:val="both"/>
              <w:rPr>
                <w:rFonts w:eastAsia="標楷體" w:cstheme="minorHAnsi"/>
                <w:szCs w:val="24"/>
              </w:rPr>
            </w:pPr>
            <w:r w:rsidRPr="009C5738">
              <w:rPr>
                <w:rFonts w:eastAsia="標楷體" w:cstheme="minorHAnsi"/>
                <w:szCs w:val="24"/>
                <w:vertAlign w:val="superscript"/>
              </w:rPr>
              <w:t>3</w:t>
            </w:r>
            <w:r w:rsidRPr="009C5738">
              <w:rPr>
                <w:rFonts w:eastAsia="標楷體" w:cstheme="minorHAnsi"/>
                <w:szCs w:val="24"/>
              </w:rPr>
              <w:t xml:space="preserve"> Class 3 elements with a cutaneous PDE above 500 μg/day do not have to be include</w:t>
            </w:r>
            <w:r>
              <w:rPr>
                <w:rFonts w:eastAsia="標楷體" w:cstheme="minorHAnsi"/>
                <w:szCs w:val="24"/>
              </w:rPr>
              <w:t>d in the risk assessment unless</w:t>
            </w:r>
            <w:r>
              <w:rPr>
                <w:rFonts w:eastAsia="標楷體" w:cstheme="minorHAnsi" w:hint="eastAsia"/>
                <w:szCs w:val="24"/>
              </w:rPr>
              <w:t xml:space="preserve"> </w:t>
            </w:r>
            <w:r w:rsidRPr="009C5738">
              <w:rPr>
                <w:rFonts w:eastAsia="標楷體" w:cstheme="minorHAnsi"/>
                <w:szCs w:val="24"/>
              </w:rPr>
              <w:t>intentionally added (see section 4 of</w:t>
            </w:r>
            <w:r>
              <w:rPr>
                <w:rFonts w:eastAsia="標楷體" w:cstheme="minorHAnsi"/>
                <w:szCs w:val="24"/>
              </w:rPr>
              <w:t xml:space="preserve"> ICH Q3D)</w:t>
            </w:r>
          </w:p>
          <w:p w:rsidR="009C5738" w:rsidRPr="00B55920" w:rsidRDefault="009C5738" w:rsidP="009C5738">
            <w:pPr>
              <w:snapToGrid w:val="0"/>
              <w:spacing w:beforeLines="50" w:before="180" w:afterLines="50" w:after="180" w:line="0" w:lineRule="atLeast"/>
              <w:jc w:val="both"/>
              <w:rPr>
                <w:rFonts w:eastAsia="標楷體" w:cstheme="minorHAnsi" w:hint="eastAsia"/>
                <w:szCs w:val="24"/>
              </w:rPr>
            </w:pPr>
            <w:r w:rsidRPr="009C5738">
              <w:rPr>
                <w:rFonts w:eastAsia="標楷體" w:cstheme="minorHAnsi"/>
                <w:szCs w:val="24"/>
                <w:vertAlign w:val="superscript"/>
              </w:rPr>
              <w:t>4</w:t>
            </w:r>
            <w:r w:rsidRPr="009C5738">
              <w:rPr>
                <w:rFonts w:eastAsia="標楷體" w:cstheme="minorHAnsi"/>
                <w:szCs w:val="24"/>
              </w:rPr>
              <w:t xml:space="preserve"> Pd PDE will apply to iridium, osmium, rhodium, and ruthenium.</w:t>
            </w:r>
          </w:p>
        </w:tc>
        <w:tc>
          <w:tcPr>
            <w:tcW w:w="970" w:type="pct"/>
          </w:tcPr>
          <w:p w:rsidR="0026331E" w:rsidRPr="00B55920" w:rsidRDefault="0026331E" w:rsidP="00525292">
            <w:pPr>
              <w:snapToGrid w:val="0"/>
              <w:spacing w:before="50" w:after="50" w:line="0" w:lineRule="atLeast"/>
              <w:contextualSpacing/>
              <w:rPr>
                <w:rFonts w:eastAsia="標楷體" w:cstheme="minorHAnsi"/>
                <w:szCs w:val="24"/>
              </w:rPr>
            </w:pPr>
          </w:p>
        </w:tc>
      </w:tr>
      <w:tr w:rsidR="0026331E" w:rsidRPr="00B55920" w:rsidTr="00EB6C26">
        <w:trPr>
          <w:trHeight w:val="56"/>
        </w:trPr>
        <w:tc>
          <w:tcPr>
            <w:tcW w:w="262" w:type="pct"/>
          </w:tcPr>
          <w:p w:rsidR="0026331E" w:rsidRPr="00FE5D79" w:rsidRDefault="0026331E" w:rsidP="00525292">
            <w:pPr>
              <w:snapToGrid w:val="0"/>
              <w:spacing w:before="50" w:after="50" w:line="0" w:lineRule="atLeast"/>
              <w:contextualSpacing/>
              <w:jc w:val="center"/>
              <w:rPr>
                <w:rFonts w:eastAsia="標楷體" w:cstheme="minorHAnsi"/>
                <w:b/>
                <w:szCs w:val="24"/>
              </w:rPr>
            </w:pPr>
          </w:p>
        </w:tc>
        <w:tc>
          <w:tcPr>
            <w:tcW w:w="1089" w:type="pct"/>
          </w:tcPr>
          <w:p w:rsidR="0026331E" w:rsidRPr="00FE5D79" w:rsidRDefault="009C5738" w:rsidP="00525292">
            <w:pPr>
              <w:snapToGrid w:val="0"/>
              <w:spacing w:before="50" w:after="50" w:line="0" w:lineRule="atLeast"/>
              <w:contextualSpacing/>
              <w:rPr>
                <w:rFonts w:eastAsia="標楷體" w:cstheme="minorHAnsi"/>
                <w:b/>
                <w:szCs w:val="24"/>
              </w:rPr>
            </w:pPr>
            <w:r w:rsidRPr="009C5738">
              <w:rPr>
                <w:rFonts w:eastAsia="標楷體" w:cstheme="minorHAnsi"/>
                <w:b/>
                <w:szCs w:val="24"/>
              </w:rPr>
              <w:t>Table 2: Cutaneous PDE and Concentration Limits 468 for a 10 g Dose</w:t>
            </w:r>
          </w:p>
        </w:tc>
        <w:tc>
          <w:tcPr>
            <w:tcW w:w="2679" w:type="pct"/>
          </w:tcPr>
          <w:p w:rsidR="0026331E" w:rsidRDefault="009C5738" w:rsidP="009C11A0">
            <w:pPr>
              <w:snapToGrid w:val="0"/>
              <w:spacing w:afterLines="50" w:after="180" w:line="0" w:lineRule="atLeast"/>
              <w:jc w:val="both"/>
              <w:rPr>
                <w:rFonts w:eastAsia="標楷體" w:cstheme="minorHAnsi"/>
                <w:szCs w:val="24"/>
              </w:rPr>
            </w:pPr>
            <w:r>
              <w:rPr>
                <w:noProof/>
              </w:rPr>
              <w:drawing>
                <wp:inline distT="0" distB="0" distL="0" distR="0" wp14:anchorId="20D2D2C3" wp14:editId="3B266C66">
                  <wp:extent cx="5175250" cy="3924300"/>
                  <wp:effectExtent l="0" t="0" r="635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75250" cy="3924300"/>
                          </a:xfrm>
                          <a:prstGeom prst="rect">
                            <a:avLst/>
                          </a:prstGeom>
                        </pic:spPr>
                      </pic:pic>
                    </a:graphicData>
                  </a:graphic>
                </wp:inline>
              </w:drawing>
            </w:r>
          </w:p>
          <w:p w:rsidR="009C5738" w:rsidRPr="009C5738" w:rsidRDefault="009C5738" w:rsidP="009C11A0">
            <w:pPr>
              <w:snapToGrid w:val="0"/>
              <w:spacing w:afterLines="50" w:after="180" w:line="0" w:lineRule="atLeast"/>
              <w:jc w:val="both"/>
              <w:rPr>
                <w:rFonts w:eastAsia="標楷體" w:cstheme="minorHAnsi"/>
                <w:szCs w:val="24"/>
              </w:rPr>
            </w:pPr>
            <w:r w:rsidRPr="009C5738">
              <w:rPr>
                <w:rFonts w:eastAsia="標楷體" w:cstheme="minorHAnsi"/>
                <w:szCs w:val="24"/>
                <w:vertAlign w:val="superscript"/>
              </w:rPr>
              <w:t>1</w:t>
            </w:r>
            <w:r w:rsidRPr="009C5738">
              <w:rPr>
                <w:rFonts w:eastAsia="標楷體" w:cstheme="minorHAnsi"/>
                <w:szCs w:val="24"/>
              </w:rPr>
              <w:t xml:space="preserve"> PDE expressed in concentration terms, calculated using a 10 g daily dose;</w:t>
            </w:r>
          </w:p>
          <w:p w:rsidR="009C5738" w:rsidRPr="009C5738" w:rsidRDefault="009C5738" w:rsidP="009C11A0">
            <w:pPr>
              <w:snapToGrid w:val="0"/>
              <w:spacing w:afterLines="50" w:after="180" w:line="0" w:lineRule="atLeast"/>
              <w:jc w:val="both"/>
              <w:rPr>
                <w:rFonts w:eastAsia="標楷體" w:cstheme="minorHAnsi"/>
                <w:szCs w:val="24"/>
              </w:rPr>
            </w:pPr>
            <w:r w:rsidRPr="009C5738">
              <w:rPr>
                <w:rFonts w:eastAsia="標楷體" w:cstheme="minorHAnsi"/>
                <w:szCs w:val="24"/>
                <w:vertAlign w:val="superscript"/>
              </w:rPr>
              <w:t>2</w:t>
            </w:r>
            <w:r w:rsidRPr="009C5738">
              <w:rPr>
                <w:rFonts w:eastAsia="標楷體" w:cstheme="minorHAnsi"/>
                <w:szCs w:val="24"/>
              </w:rPr>
              <w:t xml:space="preserve"> For elements with a cutaneous PDE and a CTCL, both limits need to be met. In case, </w:t>
            </w:r>
            <w:r>
              <w:rPr>
                <w:rFonts w:eastAsia="標楷體" w:cstheme="minorHAnsi"/>
                <w:szCs w:val="24"/>
              </w:rPr>
              <w:t>the results are conflicting the</w:t>
            </w:r>
            <w:r>
              <w:rPr>
                <w:rFonts w:eastAsia="標楷體" w:cstheme="minorHAnsi" w:hint="eastAsia"/>
                <w:szCs w:val="24"/>
              </w:rPr>
              <w:t xml:space="preserve"> </w:t>
            </w:r>
            <w:r w:rsidRPr="009C5738">
              <w:rPr>
                <w:rFonts w:eastAsia="標楷體" w:cstheme="minorHAnsi"/>
                <w:szCs w:val="24"/>
              </w:rPr>
              <w:t>lowest limit needs to be applied. As example: for Co: based on a 10 g dose, the calcul</w:t>
            </w:r>
            <w:r>
              <w:rPr>
                <w:rFonts w:eastAsia="標楷體" w:cstheme="minorHAnsi"/>
                <w:szCs w:val="24"/>
              </w:rPr>
              <w:t>ated cutaneous concentration is</w:t>
            </w:r>
            <w:r>
              <w:rPr>
                <w:rFonts w:eastAsia="標楷體" w:cstheme="minorHAnsi" w:hint="eastAsia"/>
                <w:szCs w:val="24"/>
              </w:rPr>
              <w:t xml:space="preserve"> </w:t>
            </w:r>
            <w:r w:rsidRPr="009C5738">
              <w:rPr>
                <w:rFonts w:eastAsia="標楷體" w:cstheme="minorHAnsi"/>
                <w:szCs w:val="24"/>
              </w:rPr>
              <w:t xml:space="preserve">5 μg/g is; a </w:t>
            </w:r>
            <w:r w:rsidRPr="009C5738">
              <w:rPr>
                <w:rFonts w:eastAsia="標楷體" w:cstheme="minorHAnsi"/>
                <w:szCs w:val="24"/>
              </w:rPr>
              <w:lastRenderedPageBreak/>
              <w:t>1 g dose would permit a daily concentration of 50 μg/g, exceedi</w:t>
            </w:r>
            <w:r>
              <w:rPr>
                <w:rFonts w:eastAsia="標楷體" w:cstheme="minorHAnsi"/>
                <w:szCs w:val="24"/>
              </w:rPr>
              <w:t>ng the CTCL of 35 μg/g. In this</w:t>
            </w:r>
            <w:r>
              <w:rPr>
                <w:rFonts w:eastAsia="標楷體" w:cstheme="minorHAnsi" w:hint="eastAsia"/>
                <w:szCs w:val="24"/>
              </w:rPr>
              <w:t xml:space="preserve"> </w:t>
            </w:r>
            <w:r w:rsidRPr="009C5738">
              <w:rPr>
                <w:rFonts w:eastAsia="標楷體" w:cstheme="minorHAnsi"/>
                <w:szCs w:val="24"/>
              </w:rPr>
              <w:t>situation, the CTCL limit should be used.</w:t>
            </w:r>
          </w:p>
          <w:p w:rsidR="009C5738" w:rsidRPr="00B55920" w:rsidRDefault="009C5738" w:rsidP="009C11A0">
            <w:pPr>
              <w:snapToGrid w:val="0"/>
              <w:spacing w:afterLines="50" w:after="180" w:line="0" w:lineRule="atLeast"/>
              <w:jc w:val="both"/>
              <w:rPr>
                <w:rFonts w:eastAsia="標楷體" w:cstheme="minorHAnsi" w:hint="eastAsia"/>
                <w:szCs w:val="24"/>
              </w:rPr>
            </w:pPr>
            <w:r w:rsidRPr="009C5738">
              <w:rPr>
                <w:rFonts w:eastAsia="標楷體" w:cstheme="minorHAnsi"/>
                <w:szCs w:val="24"/>
                <w:vertAlign w:val="superscript"/>
              </w:rPr>
              <w:t>3</w:t>
            </w:r>
            <w:r w:rsidRPr="009C5738">
              <w:rPr>
                <w:rFonts w:eastAsia="標楷體" w:cstheme="minorHAnsi"/>
                <w:szCs w:val="24"/>
              </w:rPr>
              <w:t xml:space="preserve"> Pd PDE will apply to iridium, </w:t>
            </w:r>
            <w:r>
              <w:rPr>
                <w:rFonts w:eastAsia="標楷體" w:cstheme="minorHAnsi"/>
                <w:szCs w:val="24"/>
              </w:rPr>
              <w:t>osmium, rhodium, and ruthenium.</w:t>
            </w:r>
          </w:p>
        </w:tc>
        <w:tc>
          <w:tcPr>
            <w:tcW w:w="970" w:type="pct"/>
          </w:tcPr>
          <w:p w:rsidR="0026331E" w:rsidRPr="00B55920" w:rsidRDefault="0026331E" w:rsidP="00525292">
            <w:pPr>
              <w:snapToGrid w:val="0"/>
              <w:spacing w:before="50" w:after="50" w:line="0" w:lineRule="atLeast"/>
              <w:contextualSpacing/>
              <w:rPr>
                <w:rFonts w:eastAsia="標楷體" w:cstheme="minorHAnsi"/>
                <w:szCs w:val="24"/>
              </w:rPr>
            </w:pPr>
          </w:p>
        </w:tc>
      </w:tr>
      <w:tr w:rsidR="0026331E" w:rsidRPr="00B55920" w:rsidTr="00EB6C26">
        <w:trPr>
          <w:trHeight w:val="56"/>
        </w:trPr>
        <w:tc>
          <w:tcPr>
            <w:tcW w:w="262" w:type="pct"/>
          </w:tcPr>
          <w:p w:rsidR="0026331E" w:rsidRPr="00FE5D79" w:rsidRDefault="00332E01" w:rsidP="00525292">
            <w:pPr>
              <w:snapToGrid w:val="0"/>
              <w:spacing w:before="50" w:after="50" w:line="0" w:lineRule="atLeast"/>
              <w:contextualSpacing/>
              <w:jc w:val="center"/>
              <w:rPr>
                <w:rFonts w:eastAsia="標楷體" w:cstheme="minorHAnsi"/>
                <w:b/>
                <w:szCs w:val="24"/>
              </w:rPr>
            </w:pPr>
            <w:r>
              <w:rPr>
                <w:rFonts w:eastAsia="標楷體" w:cstheme="minorHAnsi" w:hint="eastAsia"/>
                <w:b/>
                <w:szCs w:val="24"/>
              </w:rPr>
              <w:t>8</w:t>
            </w:r>
          </w:p>
        </w:tc>
        <w:tc>
          <w:tcPr>
            <w:tcW w:w="1089" w:type="pct"/>
          </w:tcPr>
          <w:p w:rsidR="0026331E" w:rsidRPr="00FE5D79" w:rsidRDefault="00332E01" w:rsidP="00525292">
            <w:pPr>
              <w:snapToGrid w:val="0"/>
              <w:spacing w:before="50" w:after="50" w:line="0" w:lineRule="atLeast"/>
              <w:contextualSpacing/>
              <w:rPr>
                <w:rFonts w:eastAsia="標楷體" w:cstheme="minorHAnsi"/>
                <w:b/>
                <w:szCs w:val="24"/>
              </w:rPr>
            </w:pPr>
            <w:r w:rsidRPr="00332E01">
              <w:rPr>
                <w:rFonts w:eastAsia="標楷體" w:cstheme="minorHAnsi"/>
                <w:b/>
                <w:szCs w:val="24"/>
              </w:rPr>
              <w:t>REFERENCES</w:t>
            </w:r>
          </w:p>
        </w:tc>
        <w:tc>
          <w:tcPr>
            <w:tcW w:w="2679" w:type="pct"/>
          </w:tcPr>
          <w:p w:rsidR="00332E01" w:rsidRPr="00332E01" w:rsidRDefault="00332E01" w:rsidP="009C11A0">
            <w:pPr>
              <w:snapToGrid w:val="0"/>
              <w:spacing w:afterLines="50" w:after="180" w:line="0" w:lineRule="atLeast"/>
              <w:jc w:val="both"/>
              <w:rPr>
                <w:rFonts w:eastAsia="標楷體" w:cstheme="minorHAnsi" w:hint="eastAsia"/>
                <w:szCs w:val="24"/>
              </w:rPr>
            </w:pPr>
            <w:r w:rsidRPr="00332E01">
              <w:rPr>
                <w:rFonts w:eastAsia="標楷體" w:cstheme="minorHAnsi"/>
                <w:szCs w:val="24"/>
              </w:rPr>
              <w:t>Ahlström MG, Thyssen JP, Wennervaldt M, Menné T, Johansen JD. Nic</w:t>
            </w:r>
            <w:r>
              <w:rPr>
                <w:rFonts w:eastAsia="標楷體" w:cstheme="minorHAnsi"/>
                <w:szCs w:val="24"/>
              </w:rPr>
              <w:t>kel allergy and allergic</w:t>
            </w:r>
            <w:r>
              <w:rPr>
                <w:rFonts w:eastAsia="標楷體" w:cstheme="minorHAnsi" w:hint="eastAsia"/>
                <w:szCs w:val="24"/>
              </w:rPr>
              <w:t xml:space="preserve"> </w:t>
            </w:r>
            <w:r w:rsidRPr="00332E01">
              <w:rPr>
                <w:rFonts w:eastAsia="標楷體" w:cstheme="minorHAnsi"/>
                <w:szCs w:val="24"/>
              </w:rPr>
              <w:t>contact dermatitis: A clinical review of immunology, epidemiology, exposure and treatment. Contact Dermatitis 2019; 1-15.</w:t>
            </w:r>
          </w:p>
          <w:p w:rsidR="00332E01" w:rsidRDefault="00332E01" w:rsidP="009C11A0">
            <w:pPr>
              <w:snapToGrid w:val="0"/>
              <w:spacing w:afterLines="50" w:after="180" w:line="0" w:lineRule="atLeast"/>
              <w:jc w:val="both"/>
              <w:rPr>
                <w:rFonts w:eastAsia="標楷體" w:cstheme="minorHAnsi"/>
                <w:szCs w:val="24"/>
              </w:rPr>
            </w:pPr>
            <w:r w:rsidRPr="00332E01">
              <w:rPr>
                <w:rFonts w:eastAsia="標楷體" w:cstheme="minorHAnsi"/>
                <w:szCs w:val="24"/>
              </w:rPr>
              <w:t>Api AA, Basketter DA, Cadby PA, Cano MF, Ellis G, Ger</w:t>
            </w:r>
            <w:r>
              <w:rPr>
                <w:rFonts w:eastAsia="標楷體" w:cstheme="minorHAnsi"/>
                <w:szCs w:val="24"/>
              </w:rPr>
              <w:t xml:space="preserve">berick ZF, Griem P, McNamee </w:t>
            </w:r>
            <w:r w:rsidRPr="00332E01">
              <w:rPr>
                <w:rFonts w:eastAsia="標楷體" w:cstheme="minorHAnsi"/>
                <w:szCs w:val="24"/>
              </w:rPr>
              <w:t xml:space="preserve">PM, </w:t>
            </w:r>
            <w:r w:rsidRPr="00332E01">
              <w:rPr>
                <w:rFonts w:eastAsia="標楷體" w:cstheme="minorHAnsi"/>
                <w:szCs w:val="24"/>
              </w:rPr>
              <w:t>Ryan CA, Safford R. Dermal sensitization quantitative risk</w:t>
            </w:r>
            <w:r w:rsidRPr="00332E01">
              <w:rPr>
                <w:rFonts w:eastAsia="標楷體" w:cstheme="minorHAnsi"/>
                <w:szCs w:val="24"/>
              </w:rPr>
              <w:t xml:space="preserve"> assessment (QRA) for fragrance </w:t>
            </w:r>
            <w:r w:rsidRPr="00332E01">
              <w:rPr>
                <w:rFonts w:eastAsia="標楷體" w:cstheme="minorHAnsi"/>
                <w:szCs w:val="24"/>
              </w:rPr>
              <w:t>ingredients. Reg Toxicol Pharmacol 52 (1) 2008, 3-23.</w:t>
            </w:r>
          </w:p>
          <w:p w:rsidR="00332E01" w:rsidRDefault="00332E01" w:rsidP="009C11A0">
            <w:pPr>
              <w:snapToGrid w:val="0"/>
              <w:spacing w:afterLines="50" w:after="180" w:line="0" w:lineRule="atLeast"/>
              <w:jc w:val="both"/>
              <w:rPr>
                <w:rFonts w:eastAsia="標楷體" w:cstheme="minorHAnsi"/>
                <w:szCs w:val="24"/>
              </w:rPr>
            </w:pPr>
            <w:r w:rsidRPr="00332E01">
              <w:rPr>
                <w:rFonts w:cstheme="minorHAnsi"/>
                <w:kern w:val="0"/>
                <w:sz w:val="23"/>
                <w:szCs w:val="23"/>
              </w:rPr>
              <w:t>ATSDR. Toxicological profile for lead. Agency for Toxic Substanc</w:t>
            </w:r>
            <w:r w:rsidRPr="00332E01">
              <w:rPr>
                <w:rFonts w:cstheme="minorHAnsi"/>
                <w:kern w:val="0"/>
                <w:sz w:val="23"/>
                <w:szCs w:val="23"/>
              </w:rPr>
              <w:t xml:space="preserve">es and Disease Registry, Public </w:t>
            </w:r>
            <w:r w:rsidRPr="00332E01">
              <w:rPr>
                <w:rFonts w:cstheme="minorHAnsi"/>
                <w:kern w:val="0"/>
                <w:sz w:val="23"/>
                <w:szCs w:val="23"/>
              </w:rPr>
              <w:t>Health Service, U.S. Department of Health and Human Services, Atlanta GA. 2019.</w:t>
            </w:r>
          </w:p>
          <w:p w:rsidR="00332E01" w:rsidRDefault="00332E01" w:rsidP="009C11A0">
            <w:pPr>
              <w:snapToGrid w:val="0"/>
              <w:spacing w:afterLines="50" w:after="180" w:line="0" w:lineRule="atLeast"/>
              <w:jc w:val="both"/>
              <w:rPr>
                <w:rFonts w:cstheme="minorHAnsi"/>
                <w:kern w:val="0"/>
                <w:sz w:val="23"/>
                <w:szCs w:val="23"/>
              </w:rPr>
            </w:pPr>
            <w:r w:rsidRPr="00332E01">
              <w:rPr>
                <w:rFonts w:cstheme="minorHAnsi"/>
                <w:kern w:val="0"/>
                <w:sz w:val="23"/>
                <w:szCs w:val="23"/>
              </w:rPr>
              <w:t xml:space="preserve">ATSDR. Addendum to the toxicological profile for arsenic </w:t>
            </w:r>
            <w:r w:rsidRPr="00332E01">
              <w:rPr>
                <w:rFonts w:cstheme="minorHAnsi"/>
                <w:kern w:val="0"/>
                <w:sz w:val="23"/>
                <w:szCs w:val="23"/>
              </w:rPr>
              <w:t>Agency for Toxic Substances and</w:t>
            </w:r>
            <w:r w:rsidRPr="00332E01">
              <w:rPr>
                <w:rFonts w:cstheme="minorHAnsi"/>
                <w:kern w:val="0"/>
                <w:sz w:val="23"/>
                <w:szCs w:val="23"/>
              </w:rPr>
              <w:t xml:space="preserve"> Disease Registry, Public Health Service, U.S. Department of Hea</w:t>
            </w:r>
            <w:r w:rsidRPr="00332E01">
              <w:rPr>
                <w:rFonts w:cstheme="minorHAnsi"/>
                <w:kern w:val="0"/>
                <w:sz w:val="23"/>
                <w:szCs w:val="23"/>
              </w:rPr>
              <w:t>lth and Human Services, Atlanta</w:t>
            </w:r>
            <w:r w:rsidRPr="00332E01">
              <w:rPr>
                <w:rFonts w:cstheme="minorHAnsi"/>
                <w:kern w:val="0"/>
                <w:sz w:val="23"/>
                <w:szCs w:val="23"/>
              </w:rPr>
              <w:t xml:space="preserve"> GA. 2016.</w:t>
            </w:r>
          </w:p>
          <w:p w:rsidR="00332E01" w:rsidRDefault="00332E01" w:rsidP="009C11A0">
            <w:pPr>
              <w:snapToGrid w:val="0"/>
              <w:spacing w:afterLines="50" w:after="180" w:line="0" w:lineRule="atLeast"/>
              <w:jc w:val="both"/>
              <w:rPr>
                <w:rFonts w:eastAsia="標楷體" w:cstheme="minorHAnsi"/>
                <w:szCs w:val="24"/>
              </w:rPr>
            </w:pPr>
            <w:r w:rsidRPr="00332E01">
              <w:rPr>
                <w:rFonts w:eastAsia="標楷體" w:cstheme="minorHAnsi"/>
                <w:szCs w:val="24"/>
              </w:rPr>
              <w:t>Fischer LA, Johansen JD, Voelund A, Lidén C, et al. Elicitatio</w:t>
            </w:r>
            <w:r>
              <w:rPr>
                <w:rFonts w:eastAsia="標楷體" w:cstheme="minorHAnsi"/>
                <w:szCs w:val="24"/>
              </w:rPr>
              <w:t>n threshold of cobalt chloride:</w:t>
            </w:r>
            <w:r>
              <w:rPr>
                <w:rFonts w:eastAsia="標楷體" w:cstheme="minorHAnsi" w:hint="eastAsia"/>
                <w:szCs w:val="24"/>
              </w:rPr>
              <w:t xml:space="preserve"> </w:t>
            </w:r>
            <w:r w:rsidRPr="00332E01">
              <w:rPr>
                <w:rFonts w:eastAsia="標楷體" w:cstheme="minorHAnsi"/>
                <w:szCs w:val="24"/>
              </w:rPr>
              <w:t>analysis of patch test dose-response studies. Contact Dermatitis 2015; 74: 105-109.</w:t>
            </w:r>
          </w:p>
          <w:p w:rsidR="00332E01" w:rsidRDefault="00332E01" w:rsidP="009C11A0">
            <w:pPr>
              <w:snapToGrid w:val="0"/>
              <w:spacing w:afterLines="50" w:after="180" w:line="0" w:lineRule="atLeast"/>
              <w:jc w:val="both"/>
              <w:rPr>
                <w:rFonts w:eastAsia="標楷體" w:cstheme="minorHAnsi"/>
                <w:szCs w:val="24"/>
              </w:rPr>
            </w:pPr>
            <w:r w:rsidRPr="00332E01">
              <w:rPr>
                <w:rFonts w:eastAsia="標楷體" w:cstheme="minorHAnsi"/>
                <w:szCs w:val="24"/>
              </w:rPr>
              <w:t>Hostýnek JJ, Hinz RS, Lorence CR, Price M, Guy RH. Metals an</w:t>
            </w:r>
            <w:r>
              <w:rPr>
                <w:rFonts w:eastAsia="標楷體" w:cstheme="minorHAnsi"/>
                <w:szCs w:val="24"/>
              </w:rPr>
              <w:t>d the skin. Critical Reviews in</w:t>
            </w:r>
            <w:r>
              <w:rPr>
                <w:rFonts w:eastAsia="標楷體" w:cstheme="minorHAnsi" w:hint="eastAsia"/>
                <w:szCs w:val="24"/>
              </w:rPr>
              <w:t xml:space="preserve"> </w:t>
            </w:r>
            <w:r w:rsidRPr="00332E01">
              <w:rPr>
                <w:rFonts w:eastAsia="標楷體" w:cstheme="minorHAnsi"/>
                <w:szCs w:val="24"/>
              </w:rPr>
              <w:t>Toxicology 1993; 23(2): 171-235.</w:t>
            </w:r>
          </w:p>
          <w:p w:rsidR="00332E01" w:rsidRDefault="00332E01" w:rsidP="009C11A0">
            <w:pPr>
              <w:snapToGrid w:val="0"/>
              <w:spacing w:afterLines="50" w:after="180" w:line="0" w:lineRule="atLeast"/>
              <w:jc w:val="both"/>
              <w:rPr>
                <w:rFonts w:eastAsia="標楷體" w:cstheme="minorHAnsi"/>
                <w:szCs w:val="24"/>
              </w:rPr>
            </w:pPr>
            <w:r w:rsidRPr="00332E01">
              <w:rPr>
                <w:rFonts w:eastAsia="標楷體" w:cstheme="minorHAnsi"/>
                <w:szCs w:val="24"/>
              </w:rPr>
              <w:t>Hostynek JJ. Factors determining percutaneous metal absorpt</w:t>
            </w:r>
            <w:r>
              <w:rPr>
                <w:rFonts w:eastAsia="標楷體" w:cstheme="minorHAnsi"/>
                <w:szCs w:val="24"/>
              </w:rPr>
              <w:t>ion. Food Chem Toxicol 2003; 41</w:t>
            </w:r>
            <w:r w:rsidRPr="00332E01">
              <w:rPr>
                <w:rFonts w:eastAsia="標楷體" w:cstheme="minorHAnsi"/>
                <w:szCs w:val="24"/>
              </w:rPr>
              <w:t xml:space="preserve"> (3): 327–345.</w:t>
            </w:r>
          </w:p>
          <w:p w:rsidR="00332E01" w:rsidRPr="00332E01" w:rsidRDefault="00332E01" w:rsidP="009C11A0">
            <w:pPr>
              <w:snapToGrid w:val="0"/>
              <w:spacing w:afterLines="50" w:after="180" w:line="0" w:lineRule="atLeast"/>
              <w:jc w:val="both"/>
              <w:rPr>
                <w:rFonts w:eastAsia="標楷體" w:cstheme="minorHAnsi"/>
                <w:szCs w:val="24"/>
              </w:rPr>
            </w:pPr>
            <w:r w:rsidRPr="00332E01">
              <w:rPr>
                <w:rFonts w:eastAsia="標楷體" w:cstheme="minorHAnsi"/>
                <w:szCs w:val="24"/>
              </w:rPr>
              <w:t>Hursh JB, Clarkson TW, Miles EF, Goldsmith LA. Percutaneous</w:t>
            </w:r>
            <w:r>
              <w:rPr>
                <w:rFonts w:eastAsia="標楷體" w:cstheme="minorHAnsi"/>
                <w:szCs w:val="24"/>
              </w:rPr>
              <w:t xml:space="preserve"> absorption of mercury vapor by</w:t>
            </w:r>
            <w:r w:rsidRPr="00332E01">
              <w:rPr>
                <w:rFonts w:eastAsia="標楷體" w:cstheme="minorHAnsi"/>
                <w:szCs w:val="24"/>
              </w:rPr>
              <w:t xml:space="preserve"> man. Arch Environ Health 1989; 44(2): 120-127.</w:t>
            </w:r>
          </w:p>
          <w:p w:rsidR="00332E01" w:rsidRPr="00332E01" w:rsidRDefault="00332E01" w:rsidP="009C11A0">
            <w:pPr>
              <w:snapToGrid w:val="0"/>
              <w:spacing w:afterLines="50" w:after="180" w:line="0" w:lineRule="atLeast"/>
              <w:jc w:val="both"/>
              <w:rPr>
                <w:rFonts w:eastAsia="標楷體" w:cstheme="minorHAnsi" w:hint="eastAsia"/>
                <w:szCs w:val="24"/>
              </w:rPr>
            </w:pPr>
            <w:r w:rsidRPr="00332E01">
              <w:rPr>
                <w:rFonts w:eastAsia="標楷體" w:cstheme="minorHAnsi"/>
                <w:szCs w:val="24"/>
              </w:rPr>
              <w:t>Lansdown ABG. Silver and Gold. In Patty’s Toxicology 6th Edit</w:t>
            </w:r>
            <w:r>
              <w:rPr>
                <w:rFonts w:eastAsia="標楷體" w:cstheme="minorHAnsi"/>
                <w:szCs w:val="24"/>
              </w:rPr>
              <w:t>ion. Ed Bingham E., Cohrssen B;</w:t>
            </w:r>
            <w:r>
              <w:rPr>
                <w:rFonts w:eastAsia="標楷體" w:cstheme="minorHAnsi" w:hint="eastAsia"/>
                <w:szCs w:val="24"/>
              </w:rPr>
              <w:t xml:space="preserve"> </w:t>
            </w:r>
            <w:r w:rsidRPr="00332E01">
              <w:rPr>
                <w:rFonts w:eastAsia="標楷體" w:cstheme="minorHAnsi"/>
                <w:szCs w:val="24"/>
              </w:rPr>
              <w:t>Jo</w:t>
            </w:r>
            <w:r>
              <w:rPr>
                <w:rFonts w:eastAsia="標楷體" w:cstheme="minorHAnsi"/>
                <w:szCs w:val="24"/>
              </w:rPr>
              <w:t>hn Wiley &amp; Sons 2012; pp 75-112</w:t>
            </w:r>
          </w:p>
          <w:p w:rsidR="00332E01" w:rsidRPr="00332E01" w:rsidRDefault="00332E01" w:rsidP="009C11A0">
            <w:pPr>
              <w:snapToGrid w:val="0"/>
              <w:spacing w:afterLines="50" w:after="180" w:line="0" w:lineRule="atLeast"/>
              <w:jc w:val="both"/>
              <w:rPr>
                <w:rFonts w:eastAsia="標楷體" w:cstheme="minorHAnsi" w:hint="eastAsia"/>
                <w:szCs w:val="24"/>
              </w:rPr>
            </w:pPr>
            <w:r w:rsidRPr="00332E01">
              <w:rPr>
                <w:rFonts w:eastAsia="標楷體" w:cstheme="minorHAnsi"/>
                <w:szCs w:val="24"/>
              </w:rPr>
              <w:t xml:space="preserve">Long CC, and Finlay AY. The Finger-Tip Unit-a New </w:t>
            </w:r>
            <w:r>
              <w:rPr>
                <w:rFonts w:eastAsia="標楷體" w:cstheme="minorHAnsi"/>
                <w:szCs w:val="24"/>
              </w:rPr>
              <w:t>Practical Measure. Clinical and</w:t>
            </w:r>
            <w:r w:rsidRPr="00332E01">
              <w:rPr>
                <w:rFonts w:eastAsia="標楷體" w:cstheme="minorHAnsi"/>
                <w:szCs w:val="24"/>
              </w:rPr>
              <w:t xml:space="preserve"> experimental de</w:t>
            </w:r>
            <w:r>
              <w:rPr>
                <w:rFonts w:eastAsia="標楷體" w:cstheme="minorHAnsi"/>
                <w:szCs w:val="24"/>
              </w:rPr>
              <w:t>rmatology. 1991; 16.6: 444–447.</w:t>
            </w:r>
          </w:p>
          <w:p w:rsidR="00332E01" w:rsidRPr="00332E01" w:rsidRDefault="00332E01" w:rsidP="009C11A0">
            <w:pPr>
              <w:snapToGrid w:val="0"/>
              <w:spacing w:afterLines="50" w:after="180" w:line="0" w:lineRule="atLeast"/>
              <w:jc w:val="both"/>
              <w:rPr>
                <w:rFonts w:eastAsia="標楷體" w:cstheme="minorHAnsi" w:hint="eastAsia"/>
                <w:szCs w:val="24"/>
              </w:rPr>
            </w:pPr>
            <w:r w:rsidRPr="00332E01">
              <w:rPr>
                <w:rFonts w:eastAsia="標楷體" w:cstheme="minorHAnsi"/>
                <w:szCs w:val="24"/>
              </w:rPr>
              <w:lastRenderedPageBreak/>
              <w:t>Menné T, Brandup F, Thestrup-Pedersen K et al. Patch test react</w:t>
            </w:r>
            <w:r>
              <w:rPr>
                <w:rFonts w:eastAsia="標楷體" w:cstheme="minorHAnsi"/>
                <w:szCs w:val="24"/>
              </w:rPr>
              <w:t>ivity to nickel alloys. Contact</w:t>
            </w:r>
            <w:r>
              <w:rPr>
                <w:rFonts w:eastAsia="標楷體" w:cstheme="minorHAnsi" w:hint="eastAsia"/>
                <w:szCs w:val="24"/>
              </w:rPr>
              <w:t xml:space="preserve"> </w:t>
            </w:r>
            <w:r>
              <w:rPr>
                <w:rFonts w:eastAsia="標楷體" w:cstheme="minorHAnsi"/>
                <w:szCs w:val="24"/>
              </w:rPr>
              <w:t>Dermatitis 1987; 16: 255-259.</w:t>
            </w:r>
          </w:p>
          <w:p w:rsidR="00332E01" w:rsidRPr="00332E01" w:rsidRDefault="00332E01" w:rsidP="009C11A0">
            <w:pPr>
              <w:snapToGrid w:val="0"/>
              <w:spacing w:afterLines="50" w:after="180" w:line="0" w:lineRule="atLeast"/>
              <w:jc w:val="both"/>
              <w:rPr>
                <w:rFonts w:eastAsia="標楷體" w:cstheme="minorHAnsi" w:hint="eastAsia"/>
                <w:szCs w:val="24"/>
              </w:rPr>
            </w:pPr>
            <w:r w:rsidRPr="00332E01">
              <w:rPr>
                <w:rFonts w:eastAsia="標楷體" w:cstheme="minorHAnsi"/>
                <w:szCs w:val="24"/>
              </w:rPr>
              <w:t>Monteiro-Riviere NA, Filon, FL. Skin. In B Badeel, A Pietroius</w:t>
            </w:r>
            <w:r>
              <w:rPr>
                <w:rFonts w:eastAsia="標楷體" w:cstheme="minorHAnsi"/>
                <w:szCs w:val="24"/>
              </w:rPr>
              <w:t>ti and Anna A. Shvedova Adverse</w:t>
            </w:r>
            <w:r>
              <w:rPr>
                <w:rFonts w:eastAsia="標楷體" w:cstheme="minorHAnsi" w:hint="eastAsia"/>
                <w:szCs w:val="24"/>
              </w:rPr>
              <w:t xml:space="preserve"> </w:t>
            </w:r>
            <w:r w:rsidRPr="00332E01">
              <w:rPr>
                <w:rFonts w:eastAsia="標楷體" w:cstheme="minorHAnsi"/>
                <w:szCs w:val="24"/>
              </w:rPr>
              <w:t>Effects of Engineered Nanomaterials. Exposure, Toxicology</w:t>
            </w:r>
            <w:r>
              <w:rPr>
                <w:rFonts w:eastAsia="標楷體" w:cstheme="minorHAnsi"/>
                <w:szCs w:val="24"/>
              </w:rPr>
              <w:t xml:space="preserve"> and Impact on human Health 2nd Edition 2017: 357-380 Elsevier</w:t>
            </w:r>
          </w:p>
          <w:p w:rsidR="00332E01" w:rsidRDefault="00332E01" w:rsidP="009C11A0">
            <w:pPr>
              <w:snapToGrid w:val="0"/>
              <w:spacing w:afterLines="50" w:after="180" w:line="0" w:lineRule="atLeast"/>
              <w:jc w:val="both"/>
              <w:rPr>
                <w:rFonts w:eastAsia="標楷體" w:cstheme="minorHAnsi"/>
                <w:szCs w:val="24"/>
              </w:rPr>
            </w:pPr>
            <w:r w:rsidRPr="00332E01">
              <w:rPr>
                <w:rFonts w:eastAsia="標楷體" w:cstheme="minorHAnsi"/>
                <w:szCs w:val="24"/>
              </w:rPr>
              <w:t>Nethercott J, Paustenbach D, Adams R, Fowler J, et al. A study of chromium induced all</w:t>
            </w:r>
            <w:r>
              <w:rPr>
                <w:rFonts w:eastAsia="標楷體" w:cstheme="minorHAnsi"/>
                <w:szCs w:val="24"/>
              </w:rPr>
              <w:t>ergic</w:t>
            </w:r>
            <w:r>
              <w:rPr>
                <w:rFonts w:eastAsia="標楷體" w:cstheme="minorHAnsi" w:hint="eastAsia"/>
                <w:szCs w:val="24"/>
              </w:rPr>
              <w:t xml:space="preserve"> </w:t>
            </w:r>
            <w:r w:rsidRPr="00332E01">
              <w:rPr>
                <w:rFonts w:eastAsia="標楷體" w:cstheme="minorHAnsi"/>
                <w:szCs w:val="24"/>
              </w:rPr>
              <w:t xml:space="preserve">contact with 54 volunteers: implications for environmental risk assessment. </w:t>
            </w:r>
            <w:r>
              <w:rPr>
                <w:rFonts w:eastAsia="標楷體" w:cstheme="minorHAnsi"/>
                <w:szCs w:val="24"/>
              </w:rPr>
              <w:t>Occup Environ Med 1994; 51: 371-380.</w:t>
            </w:r>
          </w:p>
          <w:p w:rsidR="00332E01" w:rsidRDefault="00332E01" w:rsidP="009C11A0">
            <w:pPr>
              <w:snapToGrid w:val="0"/>
              <w:spacing w:afterLines="50" w:after="180" w:line="0" w:lineRule="atLeast"/>
              <w:rPr>
                <w:rFonts w:eastAsia="標楷體" w:cstheme="minorHAnsi"/>
                <w:szCs w:val="24"/>
              </w:rPr>
            </w:pPr>
            <w:r w:rsidRPr="00332E01">
              <w:rPr>
                <w:rFonts w:eastAsia="標楷體" w:cstheme="minorHAnsi"/>
                <w:szCs w:val="24"/>
              </w:rPr>
              <w:t>SCCP’s (European Commission Scientific Committee on Consu</w:t>
            </w:r>
            <w:r>
              <w:rPr>
                <w:rFonts w:eastAsia="標楷體" w:cstheme="minorHAnsi"/>
                <w:szCs w:val="24"/>
              </w:rPr>
              <w:t>mer Products) Notes of Guidance</w:t>
            </w:r>
            <w:r>
              <w:rPr>
                <w:rFonts w:eastAsia="標楷體" w:cstheme="minorHAnsi" w:hint="eastAsia"/>
                <w:szCs w:val="24"/>
              </w:rPr>
              <w:t xml:space="preserve"> </w:t>
            </w:r>
            <w:r w:rsidRPr="00332E01">
              <w:rPr>
                <w:rFonts w:eastAsia="標楷體" w:cstheme="minorHAnsi"/>
                <w:szCs w:val="24"/>
              </w:rPr>
              <w:t>for the Testing of Cosmetic Ingredients and Their Safety Ev</w:t>
            </w:r>
            <w:r>
              <w:rPr>
                <w:rFonts w:eastAsia="標楷體" w:cstheme="minorHAnsi"/>
                <w:szCs w:val="24"/>
              </w:rPr>
              <w:t>aluation, sixth revision, 2006.</w:t>
            </w:r>
            <w:r>
              <w:rPr>
                <w:rFonts w:eastAsia="標楷體" w:cstheme="minorHAnsi" w:hint="eastAsia"/>
                <w:szCs w:val="24"/>
              </w:rPr>
              <w:t xml:space="preserve"> </w:t>
            </w:r>
            <w:r w:rsidRPr="00332E01">
              <w:rPr>
                <w:rFonts w:eastAsia="標楷體" w:cstheme="minorHAnsi"/>
                <w:szCs w:val="24"/>
              </w:rPr>
              <w:t>http://ec.europa.eu/health/ph_risk/committees/04_sccp/docs/sccp_o_03j.pdf .</w:t>
            </w:r>
          </w:p>
          <w:p w:rsidR="00332E01" w:rsidRPr="00332E01" w:rsidRDefault="00332E01" w:rsidP="009C11A0">
            <w:pPr>
              <w:snapToGrid w:val="0"/>
              <w:spacing w:afterLines="50" w:after="180" w:line="0" w:lineRule="atLeast"/>
              <w:rPr>
                <w:rFonts w:eastAsia="標楷體" w:cstheme="minorHAnsi" w:hint="eastAsia"/>
                <w:szCs w:val="24"/>
              </w:rPr>
            </w:pPr>
            <w:r w:rsidRPr="00332E01">
              <w:rPr>
                <w:rFonts w:eastAsia="標楷體" w:cstheme="minorHAnsi"/>
                <w:szCs w:val="24"/>
              </w:rPr>
              <w:t>Thyssen JP, Uter W, McFadden J, Menné T, Spiewalk R, Vigan M</w:t>
            </w:r>
            <w:r>
              <w:rPr>
                <w:rFonts w:eastAsia="標楷體" w:cstheme="minorHAnsi"/>
                <w:szCs w:val="24"/>
              </w:rPr>
              <w:t>, Gimenez-525 Arnau A, Lidén C.</w:t>
            </w:r>
            <w:r>
              <w:rPr>
                <w:rFonts w:eastAsia="標楷體" w:cstheme="minorHAnsi" w:hint="eastAsia"/>
                <w:szCs w:val="24"/>
              </w:rPr>
              <w:t xml:space="preserve"> </w:t>
            </w:r>
            <w:r w:rsidRPr="00332E01">
              <w:rPr>
                <w:rFonts w:eastAsia="標楷體" w:cstheme="minorHAnsi"/>
                <w:szCs w:val="24"/>
              </w:rPr>
              <w:t>The EU Nickel Directive revisited—future steps towards better pro</w:t>
            </w:r>
            <w:r>
              <w:rPr>
                <w:rFonts w:eastAsia="標楷體" w:cstheme="minorHAnsi"/>
                <w:szCs w:val="24"/>
              </w:rPr>
              <w:t>tection against nickel allergy.</w:t>
            </w:r>
            <w:r>
              <w:rPr>
                <w:rFonts w:eastAsia="標楷體" w:cstheme="minorHAnsi" w:hint="eastAsia"/>
                <w:szCs w:val="24"/>
              </w:rPr>
              <w:t xml:space="preserve"> </w:t>
            </w:r>
            <w:r w:rsidRPr="00332E01">
              <w:rPr>
                <w:rFonts w:eastAsia="標楷體" w:cstheme="minorHAnsi"/>
                <w:szCs w:val="24"/>
              </w:rPr>
              <w:t>Contact De</w:t>
            </w:r>
            <w:r>
              <w:rPr>
                <w:rFonts w:eastAsia="標楷體" w:cstheme="minorHAnsi"/>
                <w:szCs w:val="24"/>
              </w:rPr>
              <w:t>rmatitis. 2011; 64(3): 121-125.</w:t>
            </w:r>
          </w:p>
          <w:p w:rsidR="00332E01" w:rsidRPr="00332E01" w:rsidRDefault="00332E01" w:rsidP="009C11A0">
            <w:pPr>
              <w:snapToGrid w:val="0"/>
              <w:spacing w:afterLines="50" w:after="180" w:line="0" w:lineRule="atLeast"/>
              <w:rPr>
                <w:rFonts w:eastAsia="標楷體" w:cstheme="minorHAnsi"/>
                <w:szCs w:val="24"/>
              </w:rPr>
            </w:pPr>
            <w:r w:rsidRPr="00332E01">
              <w:rPr>
                <w:rFonts w:eastAsia="標楷體" w:cstheme="minorHAnsi"/>
                <w:szCs w:val="24"/>
              </w:rPr>
              <w:t>Van den Oord JJ and De Ley M. Distribution of metallothionein i</w:t>
            </w:r>
            <w:r>
              <w:rPr>
                <w:rFonts w:eastAsia="標楷體" w:cstheme="minorHAnsi"/>
                <w:szCs w:val="24"/>
              </w:rPr>
              <w:t>n normal and pathological human</w:t>
            </w:r>
            <w:r w:rsidRPr="00332E01">
              <w:rPr>
                <w:rFonts w:eastAsia="標楷體" w:cstheme="minorHAnsi"/>
                <w:szCs w:val="24"/>
              </w:rPr>
              <w:t xml:space="preserve"> skin. Arch Dermatol Res 1994; 286: 62-8.</w:t>
            </w:r>
          </w:p>
        </w:tc>
        <w:tc>
          <w:tcPr>
            <w:tcW w:w="970" w:type="pct"/>
          </w:tcPr>
          <w:p w:rsidR="0026331E" w:rsidRPr="00B55920" w:rsidRDefault="0026331E" w:rsidP="00525292">
            <w:pPr>
              <w:snapToGrid w:val="0"/>
              <w:spacing w:before="50" w:after="50" w:line="0" w:lineRule="atLeast"/>
              <w:contextualSpacing/>
              <w:rPr>
                <w:rFonts w:eastAsia="標楷體" w:cstheme="minorHAnsi"/>
                <w:szCs w:val="24"/>
              </w:rPr>
            </w:pPr>
          </w:p>
        </w:tc>
      </w:tr>
    </w:tbl>
    <w:p w:rsidR="00500945" w:rsidRDefault="00500945"/>
    <w:sectPr w:rsidR="00500945" w:rsidSect="00D56EE3">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EB3" w:rsidRDefault="00136EB3" w:rsidP="00CA6E35">
      <w:r>
        <w:separator/>
      </w:r>
    </w:p>
  </w:endnote>
  <w:endnote w:type="continuationSeparator" w:id="0">
    <w:p w:rsidR="00136EB3" w:rsidRDefault="00136EB3" w:rsidP="00CA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EB3" w:rsidRDefault="00136EB3" w:rsidP="00CA6E35">
      <w:r>
        <w:separator/>
      </w:r>
    </w:p>
  </w:footnote>
  <w:footnote w:type="continuationSeparator" w:id="0">
    <w:p w:rsidR="00136EB3" w:rsidRDefault="00136EB3" w:rsidP="00CA6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D25D94"/>
    <w:multiLevelType w:val="hybridMultilevel"/>
    <w:tmpl w:val="BA44E5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86AB2"/>
    <w:multiLevelType w:val="hybridMultilevel"/>
    <w:tmpl w:val="D89C5D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7145A"/>
    <w:multiLevelType w:val="hybridMultilevel"/>
    <w:tmpl w:val="DC460D20"/>
    <w:lvl w:ilvl="0" w:tplc="301E6D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56E768A"/>
    <w:multiLevelType w:val="hybridMultilevel"/>
    <w:tmpl w:val="BD12E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4A5F49"/>
    <w:multiLevelType w:val="hybridMultilevel"/>
    <w:tmpl w:val="8D72CC22"/>
    <w:lvl w:ilvl="0" w:tplc="301E6D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835012C"/>
    <w:multiLevelType w:val="hybridMultilevel"/>
    <w:tmpl w:val="78363FC2"/>
    <w:lvl w:ilvl="0" w:tplc="0409000F">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B74FC0"/>
    <w:multiLevelType w:val="hybridMultilevel"/>
    <w:tmpl w:val="5ADE48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CC09E4"/>
    <w:multiLevelType w:val="hybridMultilevel"/>
    <w:tmpl w:val="263AE0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9DF6ABC"/>
    <w:multiLevelType w:val="hybridMultilevel"/>
    <w:tmpl w:val="71E85F4E"/>
    <w:lvl w:ilvl="0" w:tplc="DB3067C2">
      <w:start w:val="1"/>
      <w:numFmt w:val="lowerLetter"/>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B2E22A7"/>
    <w:multiLevelType w:val="hybridMultilevel"/>
    <w:tmpl w:val="18B437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BC706F2"/>
    <w:multiLevelType w:val="hybridMultilevel"/>
    <w:tmpl w:val="585085CA"/>
    <w:lvl w:ilvl="0" w:tplc="301E6D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0E1441C5"/>
    <w:multiLevelType w:val="hybridMultilevel"/>
    <w:tmpl w:val="C1D0EA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716A8B"/>
    <w:multiLevelType w:val="hybridMultilevel"/>
    <w:tmpl w:val="A59E162E"/>
    <w:lvl w:ilvl="0" w:tplc="669E17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C624CA"/>
    <w:multiLevelType w:val="hybridMultilevel"/>
    <w:tmpl w:val="09BCCD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FDC6480"/>
    <w:multiLevelType w:val="hybridMultilevel"/>
    <w:tmpl w:val="838AC8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0201DF4"/>
    <w:multiLevelType w:val="hybridMultilevel"/>
    <w:tmpl w:val="2904CAB2"/>
    <w:lvl w:ilvl="0" w:tplc="E8D030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784EEE"/>
    <w:multiLevelType w:val="hybridMultilevel"/>
    <w:tmpl w:val="78363FC2"/>
    <w:lvl w:ilvl="0" w:tplc="0409000F">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086F81"/>
    <w:multiLevelType w:val="hybridMultilevel"/>
    <w:tmpl w:val="CC18609A"/>
    <w:lvl w:ilvl="0" w:tplc="301E6D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AC84744"/>
    <w:multiLevelType w:val="hybridMultilevel"/>
    <w:tmpl w:val="5D6E9886"/>
    <w:lvl w:ilvl="0" w:tplc="301E6D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D0B0F59"/>
    <w:multiLevelType w:val="hybridMultilevel"/>
    <w:tmpl w:val="17FED364"/>
    <w:lvl w:ilvl="0" w:tplc="301E6D16">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D9413D1"/>
    <w:multiLevelType w:val="hybridMultilevel"/>
    <w:tmpl w:val="E7A8CA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0A256B"/>
    <w:multiLevelType w:val="hybridMultilevel"/>
    <w:tmpl w:val="95D208C2"/>
    <w:lvl w:ilvl="0" w:tplc="2486B3C8">
      <w:numFmt w:val="bullet"/>
      <w:lvlText w:val=""/>
      <w:lvlJc w:val="left"/>
      <w:pPr>
        <w:ind w:left="360" w:hanging="360"/>
      </w:pPr>
      <w:rPr>
        <w:rFonts w:ascii="標楷體" w:eastAsia="標楷體" w:hAnsi="標楷體" w:cstheme="minorHAns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81A3F0F"/>
    <w:multiLevelType w:val="hybridMultilevel"/>
    <w:tmpl w:val="58BA4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E10316"/>
    <w:multiLevelType w:val="hybridMultilevel"/>
    <w:tmpl w:val="3CA26D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C9063B3"/>
    <w:multiLevelType w:val="hybridMultilevel"/>
    <w:tmpl w:val="42484D78"/>
    <w:lvl w:ilvl="0" w:tplc="301E6D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5060630"/>
    <w:multiLevelType w:val="hybridMultilevel"/>
    <w:tmpl w:val="01042EA8"/>
    <w:lvl w:ilvl="0" w:tplc="DB3067C2">
      <w:start w:val="1"/>
      <w:numFmt w:val="lowerLetter"/>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56D6BF2"/>
    <w:multiLevelType w:val="hybridMultilevel"/>
    <w:tmpl w:val="F48AE8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2903F2"/>
    <w:multiLevelType w:val="hybridMultilevel"/>
    <w:tmpl w:val="2BF813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6D478C"/>
    <w:multiLevelType w:val="hybridMultilevel"/>
    <w:tmpl w:val="1A301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9774747"/>
    <w:multiLevelType w:val="hybridMultilevel"/>
    <w:tmpl w:val="01042EA8"/>
    <w:lvl w:ilvl="0" w:tplc="DB3067C2">
      <w:start w:val="1"/>
      <w:numFmt w:val="lowerLetter"/>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2127F22"/>
    <w:multiLevelType w:val="hybridMultilevel"/>
    <w:tmpl w:val="1ED2C9A2"/>
    <w:lvl w:ilvl="0" w:tplc="301E6D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E1008C2"/>
    <w:multiLevelType w:val="hybridMultilevel"/>
    <w:tmpl w:val="E50E0656"/>
    <w:lvl w:ilvl="0" w:tplc="301E6D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5"/>
  </w:num>
  <w:num w:numId="2">
    <w:abstractNumId w:val="20"/>
  </w:num>
  <w:num w:numId="3">
    <w:abstractNumId w:val="14"/>
  </w:num>
  <w:num w:numId="4">
    <w:abstractNumId w:val="5"/>
  </w:num>
  <w:num w:numId="5">
    <w:abstractNumId w:val="16"/>
  </w:num>
  <w:num w:numId="6">
    <w:abstractNumId w:val="26"/>
  </w:num>
  <w:num w:numId="7">
    <w:abstractNumId w:val="8"/>
  </w:num>
  <w:num w:numId="8">
    <w:abstractNumId w:val="29"/>
  </w:num>
  <w:num w:numId="9">
    <w:abstractNumId w:val="25"/>
  </w:num>
  <w:num w:numId="10">
    <w:abstractNumId w:val="27"/>
  </w:num>
  <w:num w:numId="11">
    <w:abstractNumId w:val="13"/>
  </w:num>
  <w:num w:numId="12">
    <w:abstractNumId w:val="6"/>
  </w:num>
  <w:num w:numId="13">
    <w:abstractNumId w:val="23"/>
  </w:num>
  <w:num w:numId="14">
    <w:abstractNumId w:val="18"/>
  </w:num>
  <w:num w:numId="15">
    <w:abstractNumId w:val="2"/>
  </w:num>
  <w:num w:numId="16">
    <w:abstractNumId w:val="30"/>
  </w:num>
  <w:num w:numId="17">
    <w:abstractNumId w:val="1"/>
  </w:num>
  <w:num w:numId="18">
    <w:abstractNumId w:val="0"/>
  </w:num>
  <w:num w:numId="19">
    <w:abstractNumId w:val="31"/>
  </w:num>
  <w:num w:numId="20">
    <w:abstractNumId w:val="3"/>
  </w:num>
  <w:num w:numId="21">
    <w:abstractNumId w:val="12"/>
  </w:num>
  <w:num w:numId="22">
    <w:abstractNumId w:val="24"/>
  </w:num>
  <w:num w:numId="23">
    <w:abstractNumId w:val="21"/>
  </w:num>
  <w:num w:numId="24">
    <w:abstractNumId w:val="9"/>
  </w:num>
  <w:num w:numId="25">
    <w:abstractNumId w:val="22"/>
  </w:num>
  <w:num w:numId="26">
    <w:abstractNumId w:val="11"/>
  </w:num>
  <w:num w:numId="27">
    <w:abstractNumId w:val="19"/>
  </w:num>
  <w:num w:numId="28">
    <w:abstractNumId w:val="17"/>
  </w:num>
  <w:num w:numId="29">
    <w:abstractNumId w:val="10"/>
  </w:num>
  <w:num w:numId="30">
    <w:abstractNumId w:val="4"/>
  </w:num>
  <w:num w:numId="31">
    <w:abstractNumId w:val="28"/>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EE3"/>
    <w:rsid w:val="00005370"/>
    <w:rsid w:val="00013CCB"/>
    <w:rsid w:val="0001585F"/>
    <w:rsid w:val="00015C09"/>
    <w:rsid w:val="00040C7B"/>
    <w:rsid w:val="000660E2"/>
    <w:rsid w:val="00075C8F"/>
    <w:rsid w:val="000807B6"/>
    <w:rsid w:val="000A7599"/>
    <w:rsid w:val="000A7C6D"/>
    <w:rsid w:val="000B023C"/>
    <w:rsid w:val="000B1E82"/>
    <w:rsid w:val="000B2132"/>
    <w:rsid w:val="000C7FE2"/>
    <w:rsid w:val="000D4A84"/>
    <w:rsid w:val="00106D1B"/>
    <w:rsid w:val="00117962"/>
    <w:rsid w:val="0012080E"/>
    <w:rsid w:val="00133508"/>
    <w:rsid w:val="00134701"/>
    <w:rsid w:val="00136427"/>
    <w:rsid w:val="00136EB3"/>
    <w:rsid w:val="0014402C"/>
    <w:rsid w:val="001542FF"/>
    <w:rsid w:val="00194FFD"/>
    <w:rsid w:val="001C1AA1"/>
    <w:rsid w:val="001E2B41"/>
    <w:rsid w:val="00224150"/>
    <w:rsid w:val="00241B16"/>
    <w:rsid w:val="002474E2"/>
    <w:rsid w:val="00247FAB"/>
    <w:rsid w:val="0026331E"/>
    <w:rsid w:val="002646F9"/>
    <w:rsid w:val="00270947"/>
    <w:rsid w:val="00276027"/>
    <w:rsid w:val="002813D1"/>
    <w:rsid w:val="002A40CB"/>
    <w:rsid w:val="002B3AD5"/>
    <w:rsid w:val="002B41D5"/>
    <w:rsid w:val="002C6229"/>
    <w:rsid w:val="002F6B5D"/>
    <w:rsid w:val="002F737B"/>
    <w:rsid w:val="0030570F"/>
    <w:rsid w:val="0033097F"/>
    <w:rsid w:val="00330DA3"/>
    <w:rsid w:val="00332E01"/>
    <w:rsid w:val="00345B3E"/>
    <w:rsid w:val="00350CC3"/>
    <w:rsid w:val="00364080"/>
    <w:rsid w:val="003664D3"/>
    <w:rsid w:val="0036690A"/>
    <w:rsid w:val="003778E5"/>
    <w:rsid w:val="003C172D"/>
    <w:rsid w:val="003D1B24"/>
    <w:rsid w:val="003D2351"/>
    <w:rsid w:val="003E3AA4"/>
    <w:rsid w:val="003E6862"/>
    <w:rsid w:val="003F3F35"/>
    <w:rsid w:val="00412492"/>
    <w:rsid w:val="00444A4F"/>
    <w:rsid w:val="00456A60"/>
    <w:rsid w:val="004641C2"/>
    <w:rsid w:val="00473651"/>
    <w:rsid w:val="004969F2"/>
    <w:rsid w:val="004B270C"/>
    <w:rsid w:val="004B763B"/>
    <w:rsid w:val="004C6500"/>
    <w:rsid w:val="0050000F"/>
    <w:rsid w:val="00500945"/>
    <w:rsid w:val="005133FF"/>
    <w:rsid w:val="00525292"/>
    <w:rsid w:val="0056082A"/>
    <w:rsid w:val="00570508"/>
    <w:rsid w:val="005A33F9"/>
    <w:rsid w:val="005B0292"/>
    <w:rsid w:val="005B65AE"/>
    <w:rsid w:val="005C140E"/>
    <w:rsid w:val="005C4EB2"/>
    <w:rsid w:val="005D1049"/>
    <w:rsid w:val="005D5D28"/>
    <w:rsid w:val="005D6817"/>
    <w:rsid w:val="005D7B1E"/>
    <w:rsid w:val="005E1412"/>
    <w:rsid w:val="005E3049"/>
    <w:rsid w:val="005F50B8"/>
    <w:rsid w:val="00606FCD"/>
    <w:rsid w:val="00630241"/>
    <w:rsid w:val="00640066"/>
    <w:rsid w:val="00646887"/>
    <w:rsid w:val="00676F90"/>
    <w:rsid w:val="00693F40"/>
    <w:rsid w:val="006B7164"/>
    <w:rsid w:val="006E6584"/>
    <w:rsid w:val="00706495"/>
    <w:rsid w:val="00714A8A"/>
    <w:rsid w:val="007224A8"/>
    <w:rsid w:val="007227D4"/>
    <w:rsid w:val="00731C6C"/>
    <w:rsid w:val="00744F5D"/>
    <w:rsid w:val="007572E6"/>
    <w:rsid w:val="00784D6E"/>
    <w:rsid w:val="007A553D"/>
    <w:rsid w:val="007B5696"/>
    <w:rsid w:val="007C27C9"/>
    <w:rsid w:val="007C43AF"/>
    <w:rsid w:val="007C5275"/>
    <w:rsid w:val="007D3F74"/>
    <w:rsid w:val="007D5390"/>
    <w:rsid w:val="007D559B"/>
    <w:rsid w:val="007E1A82"/>
    <w:rsid w:val="007F661A"/>
    <w:rsid w:val="00813961"/>
    <w:rsid w:val="008328AF"/>
    <w:rsid w:val="0084462F"/>
    <w:rsid w:val="008532E0"/>
    <w:rsid w:val="00860712"/>
    <w:rsid w:val="00861217"/>
    <w:rsid w:val="00864496"/>
    <w:rsid w:val="008A3200"/>
    <w:rsid w:val="008A59C8"/>
    <w:rsid w:val="008A6662"/>
    <w:rsid w:val="008B3D2F"/>
    <w:rsid w:val="008B4C83"/>
    <w:rsid w:val="008D4292"/>
    <w:rsid w:val="008E45F6"/>
    <w:rsid w:val="008F0D74"/>
    <w:rsid w:val="008F3548"/>
    <w:rsid w:val="008F4671"/>
    <w:rsid w:val="00901C7B"/>
    <w:rsid w:val="00920785"/>
    <w:rsid w:val="00921AC5"/>
    <w:rsid w:val="00951553"/>
    <w:rsid w:val="00984A7D"/>
    <w:rsid w:val="009C11A0"/>
    <w:rsid w:val="009C5738"/>
    <w:rsid w:val="009D13C1"/>
    <w:rsid w:val="009D71CF"/>
    <w:rsid w:val="009E4CD5"/>
    <w:rsid w:val="009F2CFD"/>
    <w:rsid w:val="00A21AA8"/>
    <w:rsid w:val="00A31C95"/>
    <w:rsid w:val="00A322E9"/>
    <w:rsid w:val="00A54E91"/>
    <w:rsid w:val="00A552BD"/>
    <w:rsid w:val="00A6027A"/>
    <w:rsid w:val="00A663E5"/>
    <w:rsid w:val="00A71E9B"/>
    <w:rsid w:val="00A81A3E"/>
    <w:rsid w:val="00A8754D"/>
    <w:rsid w:val="00A913DE"/>
    <w:rsid w:val="00A94C8B"/>
    <w:rsid w:val="00AA3C16"/>
    <w:rsid w:val="00AA4054"/>
    <w:rsid w:val="00AB08C7"/>
    <w:rsid w:val="00AC6336"/>
    <w:rsid w:val="00AD6AC9"/>
    <w:rsid w:val="00AD7122"/>
    <w:rsid w:val="00AE0530"/>
    <w:rsid w:val="00AF0630"/>
    <w:rsid w:val="00B21806"/>
    <w:rsid w:val="00B36C2C"/>
    <w:rsid w:val="00B55920"/>
    <w:rsid w:val="00BB5044"/>
    <w:rsid w:val="00BC15C5"/>
    <w:rsid w:val="00BD7AB5"/>
    <w:rsid w:val="00BE60BE"/>
    <w:rsid w:val="00BF0C69"/>
    <w:rsid w:val="00C02D65"/>
    <w:rsid w:val="00C154DB"/>
    <w:rsid w:val="00C36049"/>
    <w:rsid w:val="00C62329"/>
    <w:rsid w:val="00C62AB1"/>
    <w:rsid w:val="00C830E6"/>
    <w:rsid w:val="00C8590D"/>
    <w:rsid w:val="00C97154"/>
    <w:rsid w:val="00CA5C76"/>
    <w:rsid w:val="00CA6E35"/>
    <w:rsid w:val="00CA6F2F"/>
    <w:rsid w:val="00CA7B8B"/>
    <w:rsid w:val="00CB645D"/>
    <w:rsid w:val="00CB7CBF"/>
    <w:rsid w:val="00CC0DC9"/>
    <w:rsid w:val="00CD52BD"/>
    <w:rsid w:val="00CD5F38"/>
    <w:rsid w:val="00CE6C7D"/>
    <w:rsid w:val="00D0290C"/>
    <w:rsid w:val="00D104AE"/>
    <w:rsid w:val="00D1603C"/>
    <w:rsid w:val="00D309E6"/>
    <w:rsid w:val="00D37CD2"/>
    <w:rsid w:val="00D5077D"/>
    <w:rsid w:val="00D56EE3"/>
    <w:rsid w:val="00D77967"/>
    <w:rsid w:val="00DB68D5"/>
    <w:rsid w:val="00DD5A5C"/>
    <w:rsid w:val="00DE2187"/>
    <w:rsid w:val="00DE5861"/>
    <w:rsid w:val="00E209B7"/>
    <w:rsid w:val="00E23537"/>
    <w:rsid w:val="00E264C0"/>
    <w:rsid w:val="00E56A2A"/>
    <w:rsid w:val="00E60C51"/>
    <w:rsid w:val="00E80A15"/>
    <w:rsid w:val="00E8473E"/>
    <w:rsid w:val="00EB6C26"/>
    <w:rsid w:val="00EC2EBE"/>
    <w:rsid w:val="00F038B2"/>
    <w:rsid w:val="00F412EA"/>
    <w:rsid w:val="00F56256"/>
    <w:rsid w:val="00F56E53"/>
    <w:rsid w:val="00F76EE4"/>
    <w:rsid w:val="00F9606A"/>
    <w:rsid w:val="00FA1DB6"/>
    <w:rsid w:val="00FB63CF"/>
    <w:rsid w:val="00FC1CD9"/>
    <w:rsid w:val="00FD05A3"/>
    <w:rsid w:val="00FD33CB"/>
    <w:rsid w:val="00FE1AD5"/>
    <w:rsid w:val="00FE5D79"/>
    <w:rsid w:val="00FE6A70"/>
    <w:rsid w:val="00FF4B93"/>
    <w:rsid w:val="00FF6F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8C07D"/>
  <w15:docId w15:val="{41A7066C-496A-47C6-BD42-71D3BE03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6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E35"/>
    <w:pPr>
      <w:tabs>
        <w:tab w:val="center" w:pos="4153"/>
        <w:tab w:val="right" w:pos="8306"/>
      </w:tabs>
      <w:snapToGrid w:val="0"/>
    </w:pPr>
    <w:rPr>
      <w:sz w:val="20"/>
      <w:szCs w:val="20"/>
    </w:rPr>
  </w:style>
  <w:style w:type="character" w:customStyle="1" w:styleId="a5">
    <w:name w:val="頁首 字元"/>
    <w:basedOn w:val="a0"/>
    <w:link w:val="a4"/>
    <w:uiPriority w:val="99"/>
    <w:rsid w:val="00CA6E35"/>
    <w:rPr>
      <w:sz w:val="20"/>
      <w:szCs w:val="20"/>
    </w:rPr>
  </w:style>
  <w:style w:type="paragraph" w:styleId="a6">
    <w:name w:val="footer"/>
    <w:basedOn w:val="a"/>
    <w:link w:val="a7"/>
    <w:uiPriority w:val="99"/>
    <w:unhideWhenUsed/>
    <w:rsid w:val="00CA6E35"/>
    <w:pPr>
      <w:tabs>
        <w:tab w:val="center" w:pos="4153"/>
        <w:tab w:val="right" w:pos="8306"/>
      </w:tabs>
      <w:snapToGrid w:val="0"/>
    </w:pPr>
    <w:rPr>
      <w:sz w:val="20"/>
      <w:szCs w:val="20"/>
    </w:rPr>
  </w:style>
  <w:style w:type="character" w:customStyle="1" w:styleId="a7">
    <w:name w:val="頁尾 字元"/>
    <w:basedOn w:val="a0"/>
    <w:link w:val="a6"/>
    <w:uiPriority w:val="99"/>
    <w:rsid w:val="00CA6E35"/>
    <w:rPr>
      <w:sz w:val="20"/>
      <w:szCs w:val="20"/>
    </w:rPr>
  </w:style>
  <w:style w:type="paragraph" w:styleId="a8">
    <w:name w:val="List Paragraph"/>
    <w:basedOn w:val="a"/>
    <w:uiPriority w:val="34"/>
    <w:qFormat/>
    <w:rsid w:val="00F56256"/>
    <w:pPr>
      <w:ind w:leftChars="200" w:left="480"/>
    </w:pPr>
  </w:style>
  <w:style w:type="paragraph" w:styleId="a9">
    <w:name w:val="Balloon Text"/>
    <w:basedOn w:val="a"/>
    <w:link w:val="aa"/>
    <w:uiPriority w:val="99"/>
    <w:semiHidden/>
    <w:unhideWhenUsed/>
    <w:rsid w:val="007F661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F661A"/>
    <w:rPr>
      <w:rFonts w:asciiTheme="majorHAnsi" w:eastAsiaTheme="majorEastAsia" w:hAnsiTheme="majorHAnsi" w:cstheme="majorBidi"/>
      <w:sz w:val="18"/>
      <w:szCs w:val="18"/>
    </w:rPr>
  </w:style>
  <w:style w:type="paragraph" w:customStyle="1" w:styleId="Default">
    <w:name w:val="Default"/>
    <w:rsid w:val="00CD52BD"/>
    <w:pPr>
      <w:widowControl w:val="0"/>
      <w:autoSpaceDE w:val="0"/>
      <w:autoSpaceDN w:val="0"/>
      <w:adjustRightInd w:val="0"/>
    </w:pPr>
    <w:rPr>
      <w:rFonts w:ascii="Times New Roman" w:hAnsi="Times New Roman" w:cs="Times New Roman"/>
      <w:color w:val="000000"/>
      <w:kern w:val="0"/>
      <w:szCs w:val="24"/>
    </w:rPr>
  </w:style>
  <w:style w:type="character" w:styleId="ab">
    <w:name w:val="Hyperlink"/>
    <w:basedOn w:val="a0"/>
    <w:uiPriority w:val="99"/>
    <w:unhideWhenUsed/>
    <w:rsid w:val="00305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73B96-892A-46D7-B42B-E63BD2780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20</Pages>
  <Words>5230</Words>
  <Characters>29813</Characters>
  <Application>Microsoft Office Word</Application>
  <DocSecurity>0</DocSecurity>
  <Lines>248</Lines>
  <Paragraphs>69</Paragraphs>
  <ScaleCrop>false</ScaleCrop>
  <Company/>
  <LinksUpToDate>false</LinksUpToDate>
  <CharactersWithSpaces>34974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郭奕靚</dc:creator>
  <cp:lastModifiedBy>郭品岑</cp:lastModifiedBy>
  <cp:revision>112</cp:revision>
  <cp:lastPrinted>2020-09-01T05:48:00Z</cp:lastPrinted>
  <dcterms:created xsi:type="dcterms:W3CDTF">2020-09-01T06:14:00Z</dcterms:created>
  <dcterms:modified xsi:type="dcterms:W3CDTF">2020-09-28T06:32:00Z</dcterms:modified>
</cp:coreProperties>
</file>