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FCD" w:rsidRPr="00136427" w:rsidRDefault="00D56EE3" w:rsidP="001C1AA1">
      <w:pPr>
        <w:jc w:val="center"/>
        <w:rPr>
          <w:b/>
          <w:sz w:val="28"/>
          <w:szCs w:val="28"/>
        </w:rPr>
      </w:pPr>
      <w:r w:rsidRPr="00136427">
        <w:rPr>
          <w:b/>
          <w:sz w:val="28"/>
          <w:szCs w:val="28"/>
        </w:rPr>
        <w:t>ICH HARMONISED GUIDELINE</w:t>
      </w:r>
    </w:p>
    <w:p w:rsidR="00136427" w:rsidRDefault="00136427" w:rsidP="001C1AA1">
      <w:pPr>
        <w:jc w:val="center"/>
        <w:rPr>
          <w:b/>
          <w:bCs/>
          <w:sz w:val="28"/>
          <w:szCs w:val="32"/>
        </w:rPr>
      </w:pPr>
      <w:r w:rsidRPr="00136427">
        <w:rPr>
          <w:sz w:val="22"/>
        </w:rPr>
        <w:t xml:space="preserve"> </w:t>
      </w:r>
      <w:r w:rsidRPr="00136427">
        <w:rPr>
          <w:b/>
          <w:bCs/>
          <w:sz w:val="28"/>
          <w:szCs w:val="32"/>
        </w:rPr>
        <w:t xml:space="preserve">ICH </w:t>
      </w:r>
      <w:r w:rsidR="00813961">
        <w:rPr>
          <w:b/>
          <w:bCs/>
          <w:sz w:val="28"/>
          <w:szCs w:val="32"/>
        </w:rPr>
        <w:t xml:space="preserve">M7 (R2) </w:t>
      </w:r>
      <w:r w:rsidRPr="00136427">
        <w:rPr>
          <w:b/>
          <w:bCs/>
          <w:sz w:val="28"/>
          <w:szCs w:val="32"/>
        </w:rPr>
        <w:t xml:space="preserve">Implementation Working Group: </w:t>
      </w:r>
    </w:p>
    <w:p w:rsidR="00136427" w:rsidRDefault="00813961" w:rsidP="001C1AA1">
      <w:pPr>
        <w:jc w:val="center"/>
        <w:rPr>
          <w:b/>
          <w:sz w:val="28"/>
          <w:szCs w:val="28"/>
        </w:rPr>
      </w:pPr>
      <w:r>
        <w:rPr>
          <w:b/>
          <w:sz w:val="28"/>
          <w:szCs w:val="28"/>
        </w:rPr>
        <w:t>Assessment and Control of DNA Reactive (Mutagenic) Impurities in Pharmaceuticals to Limit Potential Carcinogenic Risk</w:t>
      </w:r>
    </w:p>
    <w:p w:rsidR="00136427" w:rsidRDefault="008A59C8" w:rsidP="001C1AA1">
      <w:pPr>
        <w:jc w:val="center"/>
        <w:rPr>
          <w:b/>
          <w:sz w:val="28"/>
          <w:szCs w:val="28"/>
        </w:rPr>
      </w:pPr>
      <w:r>
        <w:rPr>
          <w:rFonts w:hint="eastAsia"/>
          <w:b/>
          <w:sz w:val="28"/>
          <w:szCs w:val="28"/>
        </w:rPr>
        <w:t xml:space="preserve">Draft </w:t>
      </w:r>
      <w:r w:rsidR="00136427" w:rsidRPr="00136427">
        <w:rPr>
          <w:b/>
          <w:sz w:val="28"/>
          <w:szCs w:val="28"/>
        </w:rPr>
        <w:t>Questions and Answers</w:t>
      </w:r>
    </w:p>
    <w:p w:rsidR="00D56EE3" w:rsidRPr="001C1AA1" w:rsidRDefault="00D56EE3" w:rsidP="001C1AA1">
      <w:pPr>
        <w:jc w:val="center"/>
        <w:rPr>
          <w:b/>
          <w:sz w:val="28"/>
          <w:szCs w:val="28"/>
        </w:rPr>
      </w:pPr>
      <w:r w:rsidRPr="001C1AA1">
        <w:rPr>
          <w:rFonts w:hint="eastAsia"/>
          <w:b/>
          <w:sz w:val="28"/>
          <w:szCs w:val="28"/>
        </w:rPr>
        <w:t>(</w:t>
      </w:r>
      <w:r w:rsidRPr="001C1AA1">
        <w:rPr>
          <w:b/>
          <w:sz w:val="28"/>
          <w:szCs w:val="28"/>
        </w:rPr>
        <w:t>Draft version</w:t>
      </w:r>
      <w:r w:rsidRPr="001C1AA1">
        <w:rPr>
          <w:rFonts w:hint="eastAsia"/>
          <w:b/>
          <w:sz w:val="28"/>
          <w:szCs w:val="28"/>
        </w:rPr>
        <w:t xml:space="preserve">, </w:t>
      </w:r>
      <w:r w:rsidRPr="001C1AA1">
        <w:rPr>
          <w:b/>
          <w:sz w:val="28"/>
          <w:szCs w:val="28"/>
        </w:rPr>
        <w:t>Endorsed on</w:t>
      </w:r>
      <w:r w:rsidRPr="00005370">
        <w:rPr>
          <w:b/>
          <w:color w:val="000000" w:themeColor="text1"/>
          <w:sz w:val="28"/>
          <w:szCs w:val="28"/>
        </w:rPr>
        <w:t xml:space="preserve"> </w:t>
      </w:r>
      <w:r w:rsidR="00813961">
        <w:rPr>
          <w:rFonts w:cstheme="minorHAnsi"/>
          <w:b/>
          <w:sz w:val="28"/>
        </w:rPr>
        <w:t>June</w:t>
      </w:r>
      <w:r w:rsidR="00136427" w:rsidRPr="00136427">
        <w:rPr>
          <w:b/>
          <w:color w:val="000000" w:themeColor="text1"/>
          <w:sz w:val="32"/>
          <w:szCs w:val="28"/>
        </w:rPr>
        <w:t xml:space="preserve"> </w:t>
      </w:r>
      <w:r w:rsidR="00813961">
        <w:rPr>
          <w:b/>
          <w:color w:val="000000" w:themeColor="text1"/>
          <w:sz w:val="28"/>
          <w:szCs w:val="28"/>
        </w:rPr>
        <w:t xml:space="preserve">29, </w:t>
      </w:r>
      <w:r w:rsidR="00AA3C16" w:rsidRPr="00005370">
        <w:rPr>
          <w:b/>
          <w:color w:val="000000" w:themeColor="text1"/>
          <w:sz w:val="28"/>
          <w:szCs w:val="28"/>
        </w:rPr>
        <w:t>2020</w:t>
      </w:r>
      <w:r w:rsidRPr="00005370">
        <w:rPr>
          <w:rFonts w:hint="eastAsia"/>
          <w:b/>
          <w:color w:val="000000" w:themeColor="text1"/>
          <w:sz w:val="28"/>
          <w:szCs w:val="28"/>
        </w:rPr>
        <w:t>)</w:t>
      </w:r>
      <w:r w:rsidRPr="00005370">
        <w:rPr>
          <w:b/>
          <w:color w:val="000000" w:themeColor="text1"/>
          <w:sz w:val="28"/>
          <w:szCs w:val="28"/>
        </w:rPr>
        <w:cr/>
      </w:r>
      <w:r w:rsidRPr="00630241">
        <w:rPr>
          <w:rFonts w:ascii="微軟正黑體" w:eastAsia="微軟正黑體" w:hAnsi="微軟正黑體" w:hint="eastAsia"/>
          <w:b/>
          <w:sz w:val="28"/>
          <w:szCs w:val="28"/>
        </w:rPr>
        <w:t>指引意見彙整表</w:t>
      </w:r>
    </w:p>
    <w:tbl>
      <w:tblPr>
        <w:tblStyle w:val="a3"/>
        <w:tblW w:w="5000" w:type="pct"/>
        <w:tblLayout w:type="fixed"/>
        <w:tblLook w:val="04A0" w:firstRow="1" w:lastRow="0" w:firstColumn="1" w:lastColumn="0" w:noHBand="0" w:noVBand="1"/>
      </w:tblPr>
      <w:tblGrid>
        <w:gridCol w:w="818"/>
        <w:gridCol w:w="3401"/>
        <w:gridCol w:w="8366"/>
        <w:gridCol w:w="3029"/>
      </w:tblGrid>
      <w:tr w:rsidR="00D56EE3" w:rsidRPr="00B55920" w:rsidTr="00EB6C26">
        <w:trPr>
          <w:trHeight w:val="244"/>
        </w:trPr>
        <w:tc>
          <w:tcPr>
            <w:tcW w:w="262" w:type="pct"/>
          </w:tcPr>
          <w:p w:rsidR="00D56EE3" w:rsidRPr="00B55920" w:rsidRDefault="00D56EE3" w:rsidP="00FB63CF">
            <w:pPr>
              <w:snapToGrid w:val="0"/>
              <w:spacing w:beforeLines="50" w:before="180" w:afterLines="50" w:after="180" w:line="0" w:lineRule="atLeast"/>
              <w:contextualSpacing/>
              <w:jc w:val="center"/>
              <w:rPr>
                <w:rFonts w:ascii="微軟正黑體" w:eastAsia="微軟正黑體" w:hAnsi="微軟正黑體" w:cstheme="minorHAnsi"/>
                <w:szCs w:val="24"/>
              </w:rPr>
            </w:pPr>
            <w:r w:rsidRPr="00B55920">
              <w:rPr>
                <w:rFonts w:ascii="微軟正黑體" w:eastAsia="微軟正黑體" w:hAnsi="微軟正黑體" w:cstheme="minorHAnsi"/>
                <w:szCs w:val="24"/>
              </w:rPr>
              <w:t>段落</w:t>
            </w:r>
          </w:p>
        </w:tc>
        <w:tc>
          <w:tcPr>
            <w:tcW w:w="1089" w:type="pct"/>
            <w:vAlign w:val="center"/>
          </w:tcPr>
          <w:p w:rsidR="00D56EE3" w:rsidRPr="00B55920" w:rsidRDefault="00F56E53" w:rsidP="00E209B7">
            <w:pPr>
              <w:snapToGrid w:val="0"/>
              <w:spacing w:beforeLines="50" w:before="180" w:afterLines="50" w:after="180" w:line="0" w:lineRule="atLeast"/>
              <w:contextualSpacing/>
              <w:jc w:val="both"/>
              <w:rPr>
                <w:rFonts w:ascii="微軟正黑體" w:eastAsia="微軟正黑體" w:hAnsi="微軟正黑體" w:cstheme="minorHAnsi"/>
                <w:szCs w:val="24"/>
              </w:rPr>
            </w:pPr>
            <w:r w:rsidRPr="00B55920">
              <w:rPr>
                <w:rFonts w:ascii="微軟正黑體" w:eastAsia="微軟正黑體" w:hAnsi="微軟正黑體" w:cstheme="minorHAnsi"/>
                <w:szCs w:val="24"/>
              </w:rPr>
              <w:t>問題</w:t>
            </w:r>
          </w:p>
        </w:tc>
        <w:tc>
          <w:tcPr>
            <w:tcW w:w="2679" w:type="pct"/>
            <w:vAlign w:val="center"/>
          </w:tcPr>
          <w:p w:rsidR="00D56EE3" w:rsidRPr="00B55920" w:rsidRDefault="00F56E53" w:rsidP="00E209B7">
            <w:pPr>
              <w:snapToGrid w:val="0"/>
              <w:spacing w:beforeLines="50" w:before="180" w:afterLines="50" w:after="180" w:line="0" w:lineRule="atLeast"/>
              <w:contextualSpacing/>
              <w:jc w:val="both"/>
              <w:rPr>
                <w:rFonts w:ascii="微軟正黑體" w:eastAsia="微軟正黑體" w:hAnsi="微軟正黑體" w:cstheme="minorHAnsi"/>
                <w:szCs w:val="24"/>
              </w:rPr>
            </w:pPr>
            <w:r w:rsidRPr="00B55920">
              <w:rPr>
                <w:rFonts w:ascii="微軟正黑體" w:eastAsia="微軟正黑體" w:hAnsi="微軟正黑體" w:cstheme="minorHAnsi"/>
                <w:szCs w:val="24"/>
              </w:rPr>
              <w:t>回復</w:t>
            </w:r>
            <w:r w:rsidR="00D56EE3" w:rsidRPr="00B55920">
              <w:rPr>
                <w:rFonts w:ascii="微軟正黑體" w:eastAsia="微軟正黑體" w:hAnsi="微軟正黑體" w:cstheme="minorHAnsi"/>
                <w:szCs w:val="24"/>
              </w:rPr>
              <w:t>內文</w:t>
            </w:r>
            <w:r w:rsidRPr="00B55920">
              <w:rPr>
                <w:rFonts w:ascii="微軟正黑體" w:eastAsia="微軟正黑體" w:hAnsi="微軟正黑體" w:cstheme="minorHAnsi"/>
                <w:szCs w:val="24"/>
              </w:rPr>
              <w:t xml:space="preserve"> </w:t>
            </w:r>
            <w:r w:rsidR="001C1AA1" w:rsidRPr="00B55920">
              <w:rPr>
                <w:rFonts w:ascii="微軟正黑體" w:eastAsia="微軟正黑體" w:hAnsi="微軟正黑體" w:cstheme="minorHAnsi"/>
                <w:szCs w:val="24"/>
              </w:rPr>
              <w:t>(摘自</w:t>
            </w:r>
            <w:r w:rsidR="00AC6336" w:rsidRPr="00B55920">
              <w:rPr>
                <w:rFonts w:ascii="微軟正黑體" w:eastAsia="微軟正黑體" w:hAnsi="微軟正黑體" w:cstheme="minorHAnsi"/>
                <w:szCs w:val="24"/>
              </w:rPr>
              <w:t>E14/S7B</w:t>
            </w:r>
            <w:r w:rsidR="001C1AA1" w:rsidRPr="00B55920">
              <w:rPr>
                <w:rFonts w:ascii="微軟正黑體" w:eastAsia="微軟正黑體" w:hAnsi="微軟正黑體" w:cstheme="minorHAnsi"/>
                <w:szCs w:val="24"/>
              </w:rPr>
              <w:t xml:space="preserve"> draft </w:t>
            </w:r>
            <w:r w:rsidR="00AC6336" w:rsidRPr="00B55920">
              <w:rPr>
                <w:rFonts w:ascii="微軟正黑體" w:eastAsia="微軟正黑體" w:hAnsi="微軟正黑體" w:cstheme="minorHAnsi"/>
                <w:szCs w:val="24"/>
              </w:rPr>
              <w:t>Questions and Answers</w:t>
            </w:r>
            <w:r w:rsidR="001C1AA1" w:rsidRPr="00B55920">
              <w:rPr>
                <w:rFonts w:ascii="微軟正黑體" w:eastAsia="微軟正黑體" w:hAnsi="微軟正黑體" w:cstheme="minorHAnsi"/>
                <w:szCs w:val="24"/>
              </w:rPr>
              <w:t>，仍以ICH文件為準)</w:t>
            </w:r>
          </w:p>
        </w:tc>
        <w:tc>
          <w:tcPr>
            <w:tcW w:w="970" w:type="pct"/>
            <w:vAlign w:val="center"/>
          </w:tcPr>
          <w:p w:rsidR="00D56EE3" w:rsidRPr="00B55920" w:rsidRDefault="00D56EE3" w:rsidP="00E209B7">
            <w:pPr>
              <w:snapToGrid w:val="0"/>
              <w:spacing w:beforeLines="50" w:before="180" w:afterLines="50" w:after="180" w:line="0" w:lineRule="atLeast"/>
              <w:contextualSpacing/>
              <w:jc w:val="both"/>
              <w:rPr>
                <w:rFonts w:ascii="微軟正黑體" w:eastAsia="微軟正黑體" w:hAnsi="微軟正黑體" w:cstheme="minorHAnsi"/>
                <w:szCs w:val="24"/>
              </w:rPr>
            </w:pPr>
            <w:r w:rsidRPr="00B55920">
              <w:rPr>
                <w:rFonts w:ascii="微軟正黑體" w:eastAsia="微軟正黑體" w:hAnsi="微軟正黑體" w:cstheme="minorHAnsi"/>
                <w:szCs w:val="24"/>
              </w:rPr>
              <w:t>相關建議及意見</w:t>
            </w:r>
          </w:p>
          <w:p w:rsidR="00D56EE3" w:rsidRPr="00B55920" w:rsidRDefault="00D56EE3" w:rsidP="00E209B7">
            <w:pPr>
              <w:snapToGrid w:val="0"/>
              <w:spacing w:beforeLines="50" w:before="180" w:afterLines="50" w:after="180" w:line="0" w:lineRule="atLeast"/>
              <w:contextualSpacing/>
              <w:jc w:val="both"/>
              <w:rPr>
                <w:rFonts w:ascii="微軟正黑體" w:eastAsia="微軟正黑體" w:hAnsi="微軟正黑體" w:cstheme="minorHAnsi"/>
                <w:szCs w:val="24"/>
              </w:rPr>
            </w:pPr>
            <w:r w:rsidRPr="00B55920">
              <w:rPr>
                <w:rFonts w:ascii="微軟正黑體" w:eastAsia="微軟正黑體" w:hAnsi="微軟正黑體" w:cstheme="minorHAnsi"/>
                <w:szCs w:val="24"/>
              </w:rPr>
              <w:t>(請提供中英文內容)</w:t>
            </w:r>
            <w:r w:rsidR="00075C8F" w:rsidRPr="00B55920">
              <w:rPr>
                <w:rFonts w:ascii="微軟正黑體" w:eastAsia="微軟正黑體" w:hAnsi="微軟正黑體" w:cstheme="minorHAnsi"/>
                <w:szCs w:val="24"/>
              </w:rPr>
              <w:t xml:space="preserve"> </w:t>
            </w:r>
          </w:p>
        </w:tc>
      </w:tr>
      <w:tr w:rsidR="007D3F74" w:rsidRPr="00B55920" w:rsidTr="00FB63CF">
        <w:tc>
          <w:tcPr>
            <w:tcW w:w="5000" w:type="pct"/>
            <w:gridSpan w:val="4"/>
            <w:vAlign w:val="center"/>
          </w:tcPr>
          <w:p w:rsidR="00F56E53" w:rsidRPr="00B55920" w:rsidRDefault="00500945" w:rsidP="00FB63CF">
            <w:pPr>
              <w:snapToGrid w:val="0"/>
              <w:spacing w:beforeLines="50" w:before="180" w:afterLines="50" w:after="180" w:line="0" w:lineRule="atLeast"/>
              <w:contextualSpacing/>
              <w:jc w:val="both"/>
              <w:rPr>
                <w:rFonts w:eastAsia="標楷體" w:cstheme="minorHAnsi"/>
                <w:b/>
                <w:szCs w:val="24"/>
              </w:rPr>
            </w:pPr>
            <w:r w:rsidRPr="00B55920">
              <w:rPr>
                <w:rFonts w:eastAsia="標楷體" w:cstheme="minorHAnsi"/>
                <w:b/>
                <w:szCs w:val="24"/>
              </w:rPr>
              <w:t xml:space="preserve">1. </w:t>
            </w:r>
            <w:r w:rsidR="00E209B7" w:rsidRPr="00B55920">
              <w:rPr>
                <w:rFonts w:eastAsia="標楷體" w:cstheme="minorHAnsi" w:hint="eastAsia"/>
                <w:b/>
                <w:szCs w:val="24"/>
              </w:rPr>
              <w:t>Introduction</w:t>
            </w:r>
          </w:p>
        </w:tc>
      </w:tr>
      <w:tr w:rsidR="00247FAB" w:rsidRPr="00B55920" w:rsidTr="00EB6C26">
        <w:trPr>
          <w:trHeight w:val="2930"/>
        </w:trPr>
        <w:tc>
          <w:tcPr>
            <w:tcW w:w="262" w:type="pct"/>
          </w:tcPr>
          <w:p w:rsidR="00247FAB" w:rsidRPr="00B55920" w:rsidRDefault="00247FAB" w:rsidP="00FB63CF">
            <w:pPr>
              <w:snapToGrid w:val="0"/>
              <w:spacing w:beforeLines="50" w:before="180" w:afterLines="50" w:after="180" w:line="0" w:lineRule="atLeast"/>
              <w:contextualSpacing/>
              <w:jc w:val="center"/>
              <w:rPr>
                <w:rFonts w:eastAsia="標楷體" w:cstheme="minorHAnsi"/>
                <w:szCs w:val="24"/>
              </w:rPr>
            </w:pPr>
            <w:r w:rsidRPr="00B55920">
              <w:rPr>
                <w:rFonts w:eastAsia="標楷體" w:cstheme="minorHAnsi" w:hint="eastAsia"/>
                <w:szCs w:val="24"/>
              </w:rPr>
              <w:t>1.1</w:t>
            </w:r>
          </w:p>
        </w:tc>
        <w:tc>
          <w:tcPr>
            <w:tcW w:w="1089" w:type="pct"/>
          </w:tcPr>
          <w:p w:rsidR="00247FAB" w:rsidRPr="00B55920" w:rsidRDefault="00247FAB" w:rsidP="00B55920">
            <w:pPr>
              <w:snapToGrid w:val="0"/>
              <w:spacing w:beforeLines="50" w:before="180" w:afterLines="50" w:after="180" w:line="0" w:lineRule="atLeast"/>
              <w:contextualSpacing/>
              <w:rPr>
                <w:rFonts w:eastAsia="標楷體" w:cstheme="minorHAnsi"/>
                <w:szCs w:val="24"/>
              </w:rPr>
            </w:pPr>
            <w:r w:rsidRPr="00B55920">
              <w:rPr>
                <w:rFonts w:eastAsia="標楷體" w:cstheme="minorHAnsi"/>
                <w:szCs w:val="24"/>
              </w:rPr>
              <w:t>Note 1 provides general guidance on the relationship of ICH M7 with ICH Q3A and Q3B. The use of both “mutagenic potential” and “genotoxic potential” in Note 1 is confusing. Are these terms considered interchangeable?</w:t>
            </w:r>
          </w:p>
        </w:tc>
        <w:tc>
          <w:tcPr>
            <w:tcW w:w="2679" w:type="pct"/>
          </w:tcPr>
          <w:p w:rsidR="00247FAB" w:rsidRPr="00B55920" w:rsidRDefault="00247FAB" w:rsidP="00630241">
            <w:pPr>
              <w:snapToGrid w:val="0"/>
              <w:spacing w:afterLines="50" w:after="180" w:line="0" w:lineRule="atLeast"/>
              <w:jc w:val="both"/>
              <w:rPr>
                <w:rFonts w:eastAsia="標楷體" w:cstheme="minorHAnsi"/>
                <w:szCs w:val="24"/>
              </w:rPr>
            </w:pPr>
            <w:r w:rsidRPr="00B55920">
              <w:rPr>
                <w:rFonts w:eastAsia="標楷體" w:cstheme="minorHAnsi"/>
                <w:szCs w:val="24"/>
              </w:rPr>
              <w:t>No. The terms “mutagenic potential” and “genotoxic potential” are not interchangeable. Mutagenic potential refers to the ability of a compound to induce point mutations (i.e., bacterial reverse mutation assay), while genotoxic potential refers to both mutagenic and clastogenic potential. ICH M7 focuses specifically on mutagenicity.</w:t>
            </w:r>
          </w:p>
        </w:tc>
        <w:tc>
          <w:tcPr>
            <w:tcW w:w="970" w:type="pct"/>
          </w:tcPr>
          <w:p w:rsidR="00247FAB" w:rsidRPr="00B55920" w:rsidRDefault="00247FAB" w:rsidP="00FD05A3">
            <w:pPr>
              <w:snapToGrid w:val="0"/>
              <w:spacing w:beforeLines="50" w:before="180" w:afterLines="50" w:after="180" w:line="0" w:lineRule="atLeast"/>
              <w:contextualSpacing/>
              <w:rPr>
                <w:rFonts w:eastAsia="標楷體" w:cstheme="minorHAnsi"/>
                <w:szCs w:val="24"/>
              </w:rPr>
            </w:pPr>
          </w:p>
        </w:tc>
      </w:tr>
      <w:tr w:rsidR="00FF6F20" w:rsidRPr="00B55920" w:rsidTr="00EB6C26">
        <w:trPr>
          <w:trHeight w:val="1412"/>
        </w:trPr>
        <w:tc>
          <w:tcPr>
            <w:tcW w:w="262" w:type="pct"/>
          </w:tcPr>
          <w:p w:rsidR="00FF6F20" w:rsidRPr="00B55920" w:rsidRDefault="00E209B7" w:rsidP="00FB63CF">
            <w:pPr>
              <w:snapToGrid w:val="0"/>
              <w:spacing w:beforeLines="50" w:before="180" w:afterLines="50" w:after="180" w:line="0" w:lineRule="atLeast"/>
              <w:contextualSpacing/>
              <w:jc w:val="center"/>
              <w:rPr>
                <w:rFonts w:eastAsia="標楷體" w:cstheme="minorHAnsi"/>
                <w:szCs w:val="24"/>
              </w:rPr>
            </w:pPr>
            <w:r w:rsidRPr="00B55920">
              <w:rPr>
                <w:rFonts w:eastAsia="標楷體" w:cstheme="minorHAnsi" w:hint="eastAsia"/>
                <w:szCs w:val="24"/>
              </w:rPr>
              <w:t>1.2</w:t>
            </w:r>
          </w:p>
        </w:tc>
        <w:tc>
          <w:tcPr>
            <w:tcW w:w="1089" w:type="pct"/>
          </w:tcPr>
          <w:p w:rsidR="00FF6F20" w:rsidRPr="00B55920" w:rsidRDefault="00247FAB" w:rsidP="00B55920">
            <w:pPr>
              <w:snapToGrid w:val="0"/>
              <w:spacing w:beforeLines="50" w:before="180" w:afterLines="50" w:after="180" w:line="0" w:lineRule="atLeast"/>
              <w:contextualSpacing/>
              <w:rPr>
                <w:rFonts w:eastAsia="標楷體" w:cstheme="minorHAnsi"/>
                <w:szCs w:val="24"/>
              </w:rPr>
            </w:pPr>
            <w:r w:rsidRPr="00B55920">
              <w:rPr>
                <w:rFonts w:eastAsia="標楷體" w:cstheme="minorHAnsi"/>
                <w:szCs w:val="24"/>
              </w:rPr>
              <w:t>What are the expectations for evaluation of the mutagenic potential for an impurity where the amount of impurity is less than or equal to 1 mg daily dose?</w:t>
            </w:r>
          </w:p>
        </w:tc>
        <w:tc>
          <w:tcPr>
            <w:tcW w:w="2679" w:type="pct"/>
          </w:tcPr>
          <w:p w:rsidR="00247FAB" w:rsidRPr="00B55920" w:rsidRDefault="00247FAB" w:rsidP="00247FAB">
            <w:pPr>
              <w:snapToGrid w:val="0"/>
              <w:spacing w:afterLines="50" w:after="180" w:line="0" w:lineRule="atLeast"/>
              <w:jc w:val="both"/>
              <w:rPr>
                <w:rFonts w:eastAsia="標楷體" w:cstheme="minorHAnsi"/>
                <w:szCs w:val="24"/>
              </w:rPr>
            </w:pPr>
            <w:r w:rsidRPr="00B55920">
              <w:rPr>
                <w:rFonts w:eastAsia="標楷體" w:cstheme="minorHAnsi"/>
                <w:szCs w:val="24"/>
              </w:rPr>
              <w:t>In the context of ICH M7, (Quantitative) Structure-Activity Relationships ((Q)SAR) is considered an appropriate initial evaluation of mutagenic potential of an impurity at a daily dose of ≤ 1 mg. When a structural alert is identified, a follow-up in vitro evaluation (e.g., bacterial reverse mutation assay) could be conducted, or the impurity could be controlled by Threshold of Toxicological Concern (TTC). Negative results in either evaluation would classify the impurity under Class 5. The result of the bacterial reverse mutation assay overrules the (Q)SAR prediction.</w:t>
            </w:r>
          </w:p>
          <w:p w:rsidR="00FF6F20" w:rsidRPr="00B55920" w:rsidRDefault="00247FAB" w:rsidP="00247FAB">
            <w:pPr>
              <w:snapToGrid w:val="0"/>
              <w:spacing w:afterLines="50" w:after="180" w:line="0" w:lineRule="atLeast"/>
              <w:jc w:val="both"/>
              <w:rPr>
                <w:rFonts w:eastAsia="標楷體" w:cstheme="minorHAnsi"/>
                <w:szCs w:val="24"/>
              </w:rPr>
            </w:pPr>
            <w:r w:rsidRPr="00B55920">
              <w:rPr>
                <w:rFonts w:eastAsia="標楷體" w:cstheme="minorHAnsi"/>
                <w:szCs w:val="24"/>
              </w:rPr>
              <w:t>Additionally, impurities should not be assigned to Class 5 based solely on the absence of structural alerts by visual evaluation alone. There is an expectation that structural alert assessment will be conducted using (Q)SAR prediction.</w:t>
            </w:r>
          </w:p>
        </w:tc>
        <w:tc>
          <w:tcPr>
            <w:tcW w:w="970" w:type="pct"/>
          </w:tcPr>
          <w:p w:rsidR="00FF6F20" w:rsidRPr="00B55920" w:rsidRDefault="00FF6F20" w:rsidP="00FD05A3">
            <w:pPr>
              <w:snapToGrid w:val="0"/>
              <w:spacing w:beforeLines="50" w:before="180" w:afterLines="50" w:after="180" w:line="0" w:lineRule="atLeast"/>
              <w:contextualSpacing/>
              <w:rPr>
                <w:rFonts w:eastAsia="標楷體" w:cstheme="minorHAnsi"/>
                <w:szCs w:val="24"/>
              </w:rPr>
            </w:pPr>
          </w:p>
        </w:tc>
      </w:tr>
      <w:tr w:rsidR="00FF6F20" w:rsidRPr="00B55920" w:rsidTr="00EB6C26">
        <w:tc>
          <w:tcPr>
            <w:tcW w:w="262" w:type="pct"/>
          </w:tcPr>
          <w:p w:rsidR="00FF6F20" w:rsidRPr="00B55920" w:rsidRDefault="00247FAB" w:rsidP="00FB63CF">
            <w:pPr>
              <w:snapToGrid w:val="0"/>
              <w:spacing w:beforeLines="50" w:before="180" w:afterLines="50" w:after="180" w:line="0" w:lineRule="atLeast"/>
              <w:contextualSpacing/>
              <w:jc w:val="center"/>
              <w:rPr>
                <w:rFonts w:eastAsia="標楷體" w:cstheme="minorHAnsi"/>
                <w:szCs w:val="24"/>
              </w:rPr>
            </w:pPr>
            <w:r w:rsidRPr="00B55920">
              <w:rPr>
                <w:rFonts w:eastAsia="標楷體" w:cstheme="minorHAnsi" w:hint="eastAsia"/>
                <w:szCs w:val="24"/>
              </w:rPr>
              <w:t>1.3</w:t>
            </w:r>
          </w:p>
        </w:tc>
        <w:tc>
          <w:tcPr>
            <w:tcW w:w="1089" w:type="pct"/>
          </w:tcPr>
          <w:p w:rsidR="00FF6F20" w:rsidRPr="00B55920" w:rsidRDefault="00247FAB" w:rsidP="00B55920">
            <w:pPr>
              <w:snapToGrid w:val="0"/>
              <w:spacing w:beforeLines="50" w:before="180" w:afterLines="50" w:after="180" w:line="0" w:lineRule="atLeast"/>
              <w:contextualSpacing/>
              <w:rPr>
                <w:rFonts w:eastAsia="標楷體" w:cstheme="minorHAnsi"/>
                <w:szCs w:val="24"/>
              </w:rPr>
            </w:pPr>
            <w:r w:rsidRPr="00B55920">
              <w:rPr>
                <w:rFonts w:eastAsia="標楷體" w:cstheme="minorHAnsi"/>
                <w:szCs w:val="24"/>
              </w:rPr>
              <w:t xml:space="preserve">If an impurity generates </w:t>
            </w:r>
            <w:r w:rsidRPr="00B55920">
              <w:rPr>
                <w:rFonts w:eastAsia="標楷體" w:cstheme="minorHAnsi"/>
                <w:szCs w:val="24"/>
              </w:rPr>
              <w:lastRenderedPageBreak/>
              <w:t>negative predictions in two appropriate (Q)SAR systems and is present at a level less than or equal to 1 mg daily dose, is further genetic toxicity testing recommended?</w:t>
            </w:r>
          </w:p>
        </w:tc>
        <w:tc>
          <w:tcPr>
            <w:tcW w:w="2679" w:type="pct"/>
          </w:tcPr>
          <w:p w:rsidR="00FF6F20" w:rsidRPr="00B55920" w:rsidRDefault="00247FAB" w:rsidP="00B55920">
            <w:pPr>
              <w:snapToGrid w:val="0"/>
              <w:spacing w:afterLines="50" w:after="180" w:line="0" w:lineRule="atLeast"/>
              <w:jc w:val="both"/>
              <w:rPr>
                <w:rFonts w:eastAsia="標楷體" w:cstheme="minorHAnsi"/>
                <w:szCs w:val="24"/>
              </w:rPr>
            </w:pPr>
            <w:r w:rsidRPr="00B55920">
              <w:rPr>
                <w:rFonts w:eastAsia="標楷體" w:cstheme="minorHAnsi"/>
                <w:szCs w:val="24"/>
              </w:rPr>
              <w:lastRenderedPageBreak/>
              <w:t xml:space="preserve">No. If an impurity generates negative predictions in two appropriate (Q)SAR </w:t>
            </w:r>
            <w:r w:rsidRPr="00B55920">
              <w:rPr>
                <w:rFonts w:eastAsia="標楷體" w:cstheme="minorHAnsi"/>
                <w:szCs w:val="24"/>
              </w:rPr>
              <w:lastRenderedPageBreak/>
              <w:t>systems and is present at a level ≤1 mg/day, further genetic toxicity testing is not warranted.</w:t>
            </w:r>
          </w:p>
        </w:tc>
        <w:tc>
          <w:tcPr>
            <w:tcW w:w="970" w:type="pct"/>
          </w:tcPr>
          <w:p w:rsidR="00FF6F20" w:rsidRPr="00B55920" w:rsidRDefault="00FF6F20" w:rsidP="00FD05A3">
            <w:pPr>
              <w:snapToGrid w:val="0"/>
              <w:spacing w:beforeLines="50" w:before="180" w:afterLines="50" w:after="180" w:line="0" w:lineRule="atLeast"/>
              <w:contextualSpacing/>
              <w:rPr>
                <w:rFonts w:eastAsia="標楷體" w:cstheme="minorHAnsi"/>
                <w:szCs w:val="24"/>
              </w:rPr>
            </w:pPr>
          </w:p>
        </w:tc>
      </w:tr>
      <w:tr w:rsidR="00EC2EBE" w:rsidRPr="00B55920" w:rsidTr="00EB6C26">
        <w:tc>
          <w:tcPr>
            <w:tcW w:w="262" w:type="pct"/>
          </w:tcPr>
          <w:p w:rsidR="00EC2EBE" w:rsidRPr="00B55920" w:rsidRDefault="00247FAB" w:rsidP="00FB63CF">
            <w:pPr>
              <w:snapToGrid w:val="0"/>
              <w:spacing w:beforeLines="50" w:before="180" w:afterLines="50" w:after="180" w:line="0" w:lineRule="atLeast"/>
              <w:contextualSpacing/>
              <w:jc w:val="center"/>
              <w:rPr>
                <w:rFonts w:eastAsia="標楷體" w:cstheme="minorHAnsi"/>
                <w:szCs w:val="24"/>
              </w:rPr>
            </w:pPr>
            <w:r w:rsidRPr="00B55920">
              <w:rPr>
                <w:rFonts w:eastAsia="標楷體" w:cstheme="minorHAnsi" w:hint="eastAsia"/>
                <w:szCs w:val="24"/>
              </w:rPr>
              <w:t>1.4</w:t>
            </w:r>
          </w:p>
        </w:tc>
        <w:tc>
          <w:tcPr>
            <w:tcW w:w="1089" w:type="pct"/>
          </w:tcPr>
          <w:p w:rsidR="00EC2EBE" w:rsidRPr="00B55920" w:rsidRDefault="00247FAB" w:rsidP="00B55920">
            <w:pPr>
              <w:snapToGrid w:val="0"/>
              <w:spacing w:beforeLines="50" w:before="180" w:afterLines="50" w:after="180" w:line="0" w:lineRule="atLeast"/>
              <w:contextualSpacing/>
              <w:rPr>
                <w:rFonts w:eastAsia="標楷體" w:cstheme="minorHAnsi"/>
                <w:szCs w:val="24"/>
              </w:rPr>
            </w:pPr>
            <w:r w:rsidRPr="00B55920">
              <w:rPr>
                <w:rFonts w:eastAsia="標楷體" w:cstheme="minorHAnsi"/>
                <w:szCs w:val="24"/>
              </w:rPr>
              <w:t>What are the expectations for evaluation of the genotoxic potential for an impurity where the amount of impurity exceeds 1 mg daily dose?</w:t>
            </w:r>
          </w:p>
        </w:tc>
        <w:tc>
          <w:tcPr>
            <w:tcW w:w="2679" w:type="pct"/>
          </w:tcPr>
          <w:p w:rsidR="00EC2EBE" w:rsidRPr="00B55920" w:rsidRDefault="00247FAB" w:rsidP="00B55920">
            <w:pPr>
              <w:snapToGrid w:val="0"/>
              <w:spacing w:afterLines="50" w:after="180" w:line="0" w:lineRule="atLeast"/>
              <w:jc w:val="both"/>
              <w:rPr>
                <w:rFonts w:eastAsia="標楷體" w:cstheme="minorHAnsi"/>
                <w:szCs w:val="24"/>
              </w:rPr>
            </w:pPr>
            <w:r w:rsidRPr="00B55920">
              <w:rPr>
                <w:rFonts w:eastAsia="標楷體" w:cstheme="minorHAnsi"/>
                <w:szCs w:val="24"/>
              </w:rPr>
              <w:t>In cases where the amount of impurity is &gt;1 mg daily dose for chronic administration, regardless of the impurity classification, a minimum screen of genotoxicity studies (point mutation and chromosomal aberration) can be considered.</w:t>
            </w:r>
          </w:p>
        </w:tc>
        <w:tc>
          <w:tcPr>
            <w:tcW w:w="970" w:type="pct"/>
          </w:tcPr>
          <w:p w:rsidR="00EC2EBE" w:rsidRPr="00B55920" w:rsidRDefault="00EC2EBE" w:rsidP="00FD05A3">
            <w:pPr>
              <w:snapToGrid w:val="0"/>
              <w:spacing w:beforeLines="50" w:before="180" w:afterLines="50" w:after="180" w:line="0" w:lineRule="atLeast"/>
              <w:contextualSpacing/>
              <w:rPr>
                <w:rFonts w:eastAsia="標楷體" w:cstheme="minorHAnsi"/>
                <w:szCs w:val="24"/>
              </w:rPr>
            </w:pPr>
          </w:p>
        </w:tc>
      </w:tr>
      <w:tr w:rsidR="007A553D" w:rsidRPr="00B55920" w:rsidTr="00FB63CF">
        <w:tc>
          <w:tcPr>
            <w:tcW w:w="5000" w:type="pct"/>
            <w:gridSpan w:val="4"/>
            <w:vAlign w:val="center"/>
          </w:tcPr>
          <w:p w:rsidR="007A553D" w:rsidRPr="00B55920" w:rsidRDefault="00500945" w:rsidP="00FB63CF">
            <w:pPr>
              <w:snapToGrid w:val="0"/>
              <w:spacing w:beforeLines="50" w:before="180" w:afterLines="50" w:after="180" w:line="0" w:lineRule="atLeast"/>
              <w:contextualSpacing/>
              <w:jc w:val="both"/>
              <w:rPr>
                <w:rFonts w:eastAsia="標楷體" w:cstheme="minorHAnsi"/>
                <w:b/>
                <w:szCs w:val="24"/>
              </w:rPr>
            </w:pPr>
            <w:r w:rsidRPr="00B55920">
              <w:rPr>
                <w:rFonts w:eastAsia="標楷體" w:cstheme="minorHAnsi"/>
                <w:b/>
                <w:szCs w:val="24"/>
              </w:rPr>
              <w:t xml:space="preserve">2. </w:t>
            </w:r>
            <w:r w:rsidR="007A553D" w:rsidRPr="00B55920">
              <w:rPr>
                <w:rFonts w:eastAsia="標楷體" w:cstheme="minorHAnsi" w:hint="eastAsia"/>
                <w:b/>
                <w:szCs w:val="24"/>
              </w:rPr>
              <w:t>Scope of Guideline</w:t>
            </w:r>
          </w:p>
        </w:tc>
      </w:tr>
      <w:tr w:rsidR="00FF6F20" w:rsidRPr="00B55920" w:rsidTr="00EB6C26">
        <w:trPr>
          <w:trHeight w:val="1844"/>
        </w:trPr>
        <w:tc>
          <w:tcPr>
            <w:tcW w:w="262" w:type="pct"/>
          </w:tcPr>
          <w:p w:rsidR="00FF6F20" w:rsidRPr="00B55920" w:rsidRDefault="007A553D" w:rsidP="00FB63CF">
            <w:pPr>
              <w:snapToGrid w:val="0"/>
              <w:spacing w:beforeLines="50" w:before="180" w:afterLines="50" w:after="180" w:line="0" w:lineRule="atLeast"/>
              <w:contextualSpacing/>
              <w:jc w:val="center"/>
              <w:rPr>
                <w:rFonts w:eastAsia="標楷體" w:cstheme="minorHAnsi"/>
                <w:szCs w:val="24"/>
              </w:rPr>
            </w:pPr>
            <w:r w:rsidRPr="00B55920">
              <w:rPr>
                <w:rFonts w:eastAsia="標楷體" w:cstheme="minorHAnsi" w:hint="eastAsia"/>
                <w:szCs w:val="24"/>
              </w:rPr>
              <w:t>2.1</w:t>
            </w:r>
          </w:p>
        </w:tc>
        <w:tc>
          <w:tcPr>
            <w:tcW w:w="1089" w:type="pct"/>
          </w:tcPr>
          <w:p w:rsidR="00FF6F20" w:rsidRPr="00B55920" w:rsidRDefault="007A553D" w:rsidP="00B55920">
            <w:pPr>
              <w:snapToGrid w:val="0"/>
              <w:spacing w:beforeLines="50" w:before="180" w:afterLines="50" w:after="180" w:line="0" w:lineRule="atLeast"/>
              <w:contextualSpacing/>
              <w:rPr>
                <w:rFonts w:eastAsia="標楷體" w:cstheme="minorHAnsi"/>
                <w:szCs w:val="24"/>
              </w:rPr>
            </w:pPr>
            <w:r w:rsidRPr="00B55920">
              <w:rPr>
                <w:rFonts w:eastAsia="標楷體" w:cstheme="minorHAnsi"/>
                <w:szCs w:val="24"/>
              </w:rPr>
              <w:t>Are semi-synthetic drug substances and drug products included in the scope of ICH M7?</w:t>
            </w:r>
          </w:p>
        </w:tc>
        <w:tc>
          <w:tcPr>
            <w:tcW w:w="2679" w:type="pct"/>
          </w:tcPr>
          <w:p w:rsidR="007A553D" w:rsidRPr="00B55920" w:rsidRDefault="007A553D" w:rsidP="00B55920">
            <w:pPr>
              <w:tabs>
                <w:tab w:val="left" w:pos="767"/>
              </w:tabs>
              <w:snapToGrid w:val="0"/>
              <w:spacing w:afterLines="50" w:after="180" w:line="0" w:lineRule="atLeast"/>
              <w:jc w:val="both"/>
              <w:rPr>
                <w:rFonts w:eastAsia="標楷體" w:cstheme="minorHAnsi"/>
                <w:szCs w:val="24"/>
              </w:rPr>
            </w:pPr>
            <w:r w:rsidRPr="00B55920">
              <w:rPr>
                <w:rFonts w:eastAsia="標楷體" w:cstheme="minorHAnsi"/>
                <w:szCs w:val="24"/>
              </w:rPr>
              <w:t>Yes, for certain cases. If a semi-synthetic drug substance is manufactured using steps that could introduce mutagenic impurities or degradants (e.g., post-modification of a fermentation product or late-stage introduction of a linker) a risk assessment is warranted.</w:t>
            </w:r>
          </w:p>
          <w:p w:rsidR="007A553D" w:rsidRPr="00B55920" w:rsidRDefault="007A553D" w:rsidP="00B55920">
            <w:pPr>
              <w:tabs>
                <w:tab w:val="left" w:pos="767"/>
              </w:tabs>
              <w:snapToGrid w:val="0"/>
              <w:spacing w:afterLines="50" w:after="180" w:line="0" w:lineRule="atLeast"/>
              <w:jc w:val="both"/>
              <w:rPr>
                <w:rFonts w:eastAsia="標楷體" w:cstheme="minorHAnsi"/>
                <w:szCs w:val="24"/>
              </w:rPr>
            </w:pPr>
            <w:r w:rsidRPr="00B55920">
              <w:rPr>
                <w:rFonts w:eastAsia="標楷體" w:cstheme="minorHAnsi"/>
                <w:szCs w:val="24"/>
              </w:rPr>
              <w:t>The following compounds used in the manufacturing process of semi-synthetic drug substances and drug products should be considered within the scope of the application of ICH M7:</w:t>
            </w:r>
          </w:p>
          <w:p w:rsidR="007A553D" w:rsidRPr="00B55920" w:rsidRDefault="007A553D" w:rsidP="00B55920">
            <w:pPr>
              <w:pStyle w:val="a8"/>
              <w:numPr>
                <w:ilvl w:val="0"/>
                <w:numId w:val="22"/>
              </w:numPr>
              <w:tabs>
                <w:tab w:val="left" w:pos="767"/>
              </w:tabs>
              <w:snapToGrid w:val="0"/>
              <w:spacing w:afterLines="50" w:after="180" w:line="0" w:lineRule="atLeast"/>
              <w:ind w:leftChars="0" w:hanging="299"/>
              <w:jc w:val="both"/>
              <w:rPr>
                <w:rFonts w:eastAsia="標楷體" w:cstheme="minorHAnsi"/>
                <w:szCs w:val="24"/>
              </w:rPr>
            </w:pPr>
            <w:r w:rsidRPr="00B55920">
              <w:rPr>
                <w:rFonts w:eastAsia="標楷體" w:cstheme="minorHAnsi" w:hint="eastAsia"/>
                <w:szCs w:val="24"/>
              </w:rPr>
              <w:t>chemically-synthesized intermediates and actual impurities therein</w:t>
            </w:r>
          </w:p>
          <w:p w:rsidR="000C7FE2" w:rsidRPr="00B55920" w:rsidRDefault="007A553D" w:rsidP="00B55920">
            <w:pPr>
              <w:pStyle w:val="a8"/>
              <w:numPr>
                <w:ilvl w:val="0"/>
                <w:numId w:val="22"/>
              </w:numPr>
              <w:tabs>
                <w:tab w:val="left" w:pos="767"/>
              </w:tabs>
              <w:snapToGrid w:val="0"/>
              <w:spacing w:afterLines="50" w:after="180" w:line="0" w:lineRule="atLeast"/>
              <w:ind w:leftChars="0" w:hanging="299"/>
              <w:jc w:val="both"/>
              <w:rPr>
                <w:rFonts w:eastAsia="標楷體" w:cstheme="minorHAnsi"/>
                <w:szCs w:val="24"/>
              </w:rPr>
            </w:pPr>
            <w:r w:rsidRPr="00B55920">
              <w:rPr>
                <w:rFonts w:eastAsia="標楷體" w:cstheme="minorHAnsi" w:hint="eastAsia"/>
                <w:szCs w:val="24"/>
              </w:rPr>
              <w:t>reagents</w:t>
            </w:r>
          </w:p>
        </w:tc>
        <w:tc>
          <w:tcPr>
            <w:tcW w:w="970" w:type="pct"/>
          </w:tcPr>
          <w:p w:rsidR="00FF6F20" w:rsidRPr="00B55920" w:rsidRDefault="00FF6F20" w:rsidP="00FD05A3">
            <w:pPr>
              <w:snapToGrid w:val="0"/>
              <w:spacing w:beforeLines="50" w:before="180" w:afterLines="50" w:after="180" w:line="0" w:lineRule="atLeast"/>
              <w:contextualSpacing/>
              <w:rPr>
                <w:rFonts w:eastAsia="標楷體" w:cstheme="minorHAnsi"/>
                <w:szCs w:val="24"/>
              </w:rPr>
            </w:pPr>
          </w:p>
        </w:tc>
      </w:tr>
      <w:tr w:rsidR="00500945" w:rsidRPr="00B55920" w:rsidTr="00FB63CF">
        <w:tc>
          <w:tcPr>
            <w:tcW w:w="5000" w:type="pct"/>
            <w:gridSpan w:val="4"/>
            <w:vAlign w:val="center"/>
          </w:tcPr>
          <w:p w:rsidR="00500945" w:rsidRPr="00B55920" w:rsidRDefault="00500945" w:rsidP="00FB63CF">
            <w:pPr>
              <w:snapToGrid w:val="0"/>
              <w:spacing w:beforeLines="50" w:before="180" w:afterLines="50" w:after="180" w:line="0" w:lineRule="atLeast"/>
              <w:contextualSpacing/>
              <w:jc w:val="both"/>
              <w:rPr>
                <w:rFonts w:eastAsia="標楷體" w:cstheme="minorHAnsi"/>
                <w:b/>
                <w:szCs w:val="24"/>
              </w:rPr>
            </w:pPr>
            <w:r w:rsidRPr="00B55920">
              <w:rPr>
                <w:rFonts w:eastAsia="標楷體" w:cstheme="minorHAnsi"/>
                <w:b/>
                <w:szCs w:val="24"/>
              </w:rPr>
              <w:t xml:space="preserve">3. </w:t>
            </w:r>
            <w:r w:rsidRPr="00B55920">
              <w:rPr>
                <w:rFonts w:eastAsia="標楷體" w:cstheme="minorHAnsi" w:hint="eastAsia"/>
                <w:b/>
                <w:szCs w:val="24"/>
              </w:rPr>
              <w:t>General Principles</w:t>
            </w:r>
          </w:p>
        </w:tc>
      </w:tr>
      <w:tr w:rsidR="000C7FE2" w:rsidRPr="00B55920" w:rsidTr="00EB6C26">
        <w:tc>
          <w:tcPr>
            <w:tcW w:w="262" w:type="pct"/>
          </w:tcPr>
          <w:p w:rsidR="000C7FE2" w:rsidRPr="00B55920" w:rsidRDefault="00500945" w:rsidP="00FB63CF">
            <w:pPr>
              <w:snapToGrid w:val="0"/>
              <w:spacing w:beforeLines="50" w:before="180" w:afterLines="50" w:after="180" w:line="0" w:lineRule="atLeast"/>
              <w:contextualSpacing/>
              <w:jc w:val="center"/>
              <w:rPr>
                <w:rFonts w:eastAsia="標楷體" w:cstheme="minorHAnsi"/>
                <w:szCs w:val="24"/>
              </w:rPr>
            </w:pPr>
            <w:r w:rsidRPr="00B55920">
              <w:rPr>
                <w:rFonts w:eastAsia="標楷體" w:cstheme="minorHAnsi" w:hint="eastAsia"/>
                <w:szCs w:val="24"/>
              </w:rPr>
              <w:t>3.1</w:t>
            </w:r>
          </w:p>
        </w:tc>
        <w:tc>
          <w:tcPr>
            <w:tcW w:w="1089" w:type="pct"/>
          </w:tcPr>
          <w:p w:rsidR="000C7FE2" w:rsidRPr="00B55920" w:rsidRDefault="00500945" w:rsidP="00B55920">
            <w:pPr>
              <w:snapToGrid w:val="0"/>
              <w:spacing w:beforeLines="50" w:before="180" w:afterLines="50" w:after="180" w:line="0" w:lineRule="atLeast"/>
              <w:contextualSpacing/>
              <w:rPr>
                <w:rFonts w:eastAsia="標楷體" w:cstheme="minorHAnsi"/>
                <w:szCs w:val="24"/>
              </w:rPr>
            </w:pPr>
            <w:r w:rsidRPr="00B55920">
              <w:rPr>
                <w:rFonts w:eastAsia="標楷體" w:cstheme="minorHAnsi"/>
                <w:szCs w:val="24"/>
              </w:rPr>
              <w:t>Should non-mutagenic, carcinogenic impurities be controlled according to ICH M7?</w:t>
            </w:r>
          </w:p>
        </w:tc>
        <w:tc>
          <w:tcPr>
            <w:tcW w:w="2679" w:type="pct"/>
          </w:tcPr>
          <w:p w:rsidR="000C7FE2" w:rsidRPr="00B55920" w:rsidRDefault="00500945" w:rsidP="00A6027A">
            <w:pPr>
              <w:snapToGrid w:val="0"/>
              <w:spacing w:afterLines="50" w:after="180" w:line="0" w:lineRule="atLeast"/>
              <w:jc w:val="both"/>
              <w:rPr>
                <w:rFonts w:eastAsia="標楷體" w:cstheme="minorHAnsi"/>
                <w:szCs w:val="24"/>
              </w:rPr>
            </w:pPr>
            <w:r w:rsidRPr="00B55920">
              <w:rPr>
                <w:rFonts w:eastAsia="標楷體" w:cstheme="minorHAnsi"/>
                <w:szCs w:val="24"/>
              </w:rPr>
              <w:t>No. Carcinogens that are negative in the bacterial reverse mutation assay do not have a DNA reactive mechanism of carcinogenicity and therefore are not in scope of the ICH M7 guidance (e.g., acetamide and hydroxylamine).</w:t>
            </w:r>
          </w:p>
        </w:tc>
        <w:tc>
          <w:tcPr>
            <w:tcW w:w="970" w:type="pct"/>
          </w:tcPr>
          <w:p w:rsidR="000C7FE2" w:rsidRPr="00B55920" w:rsidRDefault="000C7FE2" w:rsidP="00FD05A3">
            <w:pPr>
              <w:snapToGrid w:val="0"/>
              <w:spacing w:beforeLines="50" w:before="180" w:afterLines="50" w:after="180" w:line="0" w:lineRule="atLeast"/>
              <w:contextualSpacing/>
              <w:rPr>
                <w:rFonts w:eastAsia="標楷體" w:cstheme="minorHAnsi"/>
                <w:szCs w:val="24"/>
              </w:rPr>
            </w:pPr>
          </w:p>
        </w:tc>
      </w:tr>
      <w:tr w:rsidR="000C7FE2" w:rsidRPr="00B55920" w:rsidTr="00EB6C26">
        <w:tc>
          <w:tcPr>
            <w:tcW w:w="262" w:type="pct"/>
          </w:tcPr>
          <w:p w:rsidR="000C7FE2" w:rsidRPr="00B55920" w:rsidRDefault="00500945" w:rsidP="00FB63CF">
            <w:pPr>
              <w:snapToGrid w:val="0"/>
              <w:spacing w:beforeLines="50" w:before="180" w:afterLines="50" w:after="180" w:line="0" w:lineRule="atLeast"/>
              <w:contextualSpacing/>
              <w:jc w:val="center"/>
              <w:rPr>
                <w:rFonts w:eastAsia="標楷體" w:cstheme="minorHAnsi"/>
                <w:szCs w:val="24"/>
              </w:rPr>
            </w:pPr>
            <w:r w:rsidRPr="00B55920">
              <w:rPr>
                <w:rFonts w:eastAsia="標楷體" w:cstheme="minorHAnsi" w:hint="eastAsia"/>
                <w:szCs w:val="24"/>
              </w:rPr>
              <w:t>3.2</w:t>
            </w:r>
          </w:p>
        </w:tc>
        <w:tc>
          <w:tcPr>
            <w:tcW w:w="1089" w:type="pct"/>
          </w:tcPr>
          <w:p w:rsidR="000C7FE2" w:rsidRPr="00B55920" w:rsidRDefault="00500945" w:rsidP="00B55920">
            <w:pPr>
              <w:snapToGrid w:val="0"/>
              <w:spacing w:beforeLines="50" w:before="180" w:afterLines="50" w:after="180" w:line="0" w:lineRule="atLeast"/>
              <w:contextualSpacing/>
              <w:rPr>
                <w:rFonts w:eastAsia="標楷體" w:cstheme="minorHAnsi"/>
                <w:szCs w:val="24"/>
              </w:rPr>
            </w:pPr>
            <w:r w:rsidRPr="00B55920">
              <w:rPr>
                <w:rFonts w:eastAsia="標楷體" w:cstheme="minorHAnsi"/>
                <w:szCs w:val="24"/>
              </w:rPr>
              <w:t>Should mutagenic, non-carcinogenic impurities be controlled according to ICH M7?</w:t>
            </w:r>
          </w:p>
        </w:tc>
        <w:tc>
          <w:tcPr>
            <w:tcW w:w="2679" w:type="pct"/>
          </w:tcPr>
          <w:p w:rsidR="000C7FE2" w:rsidRPr="00B55920" w:rsidRDefault="00500945" w:rsidP="00500945">
            <w:pPr>
              <w:snapToGrid w:val="0"/>
              <w:spacing w:afterLines="50" w:after="180" w:line="0" w:lineRule="atLeast"/>
              <w:jc w:val="both"/>
              <w:rPr>
                <w:rFonts w:eastAsia="標楷體" w:cstheme="minorHAnsi"/>
                <w:szCs w:val="24"/>
              </w:rPr>
            </w:pPr>
            <w:r w:rsidRPr="00B55920">
              <w:rPr>
                <w:rFonts w:eastAsia="標楷體" w:cstheme="minorHAnsi"/>
                <w:szCs w:val="24"/>
              </w:rPr>
              <w:t>No. Mutagens that are demonstrated to be non-carcinogenic in appropriate and well-conducted animal bioassays will be treated similarly to Class 5 impurities.</w:t>
            </w:r>
          </w:p>
        </w:tc>
        <w:tc>
          <w:tcPr>
            <w:tcW w:w="970" w:type="pct"/>
          </w:tcPr>
          <w:p w:rsidR="000C7FE2" w:rsidRPr="00B55920" w:rsidRDefault="000C7FE2" w:rsidP="00FD05A3">
            <w:pPr>
              <w:snapToGrid w:val="0"/>
              <w:spacing w:beforeLines="50" w:before="180" w:afterLines="50" w:after="180" w:line="0" w:lineRule="atLeast"/>
              <w:contextualSpacing/>
              <w:rPr>
                <w:rFonts w:eastAsia="標楷體" w:cstheme="minorHAnsi"/>
                <w:szCs w:val="24"/>
              </w:rPr>
            </w:pPr>
          </w:p>
        </w:tc>
      </w:tr>
      <w:tr w:rsidR="00500945" w:rsidRPr="00B55920" w:rsidTr="00FB63CF">
        <w:tc>
          <w:tcPr>
            <w:tcW w:w="5000" w:type="pct"/>
            <w:gridSpan w:val="4"/>
            <w:vAlign w:val="center"/>
          </w:tcPr>
          <w:p w:rsidR="00500945" w:rsidRPr="00B55920" w:rsidRDefault="00500945" w:rsidP="00FB63CF">
            <w:pPr>
              <w:snapToGrid w:val="0"/>
              <w:spacing w:beforeLines="50" w:before="180" w:afterLines="50" w:after="180" w:line="0" w:lineRule="atLeast"/>
              <w:contextualSpacing/>
              <w:jc w:val="both"/>
              <w:rPr>
                <w:rFonts w:eastAsia="標楷體" w:cstheme="minorHAnsi"/>
                <w:b/>
                <w:szCs w:val="24"/>
              </w:rPr>
            </w:pPr>
            <w:r w:rsidRPr="00B55920">
              <w:rPr>
                <w:rFonts w:eastAsia="標楷體" w:cstheme="minorHAnsi"/>
                <w:b/>
                <w:szCs w:val="24"/>
              </w:rPr>
              <w:t xml:space="preserve">4. </w:t>
            </w:r>
            <w:r w:rsidRPr="00B55920">
              <w:rPr>
                <w:rFonts w:eastAsia="標楷體" w:cstheme="minorHAnsi" w:hint="eastAsia"/>
                <w:b/>
                <w:szCs w:val="24"/>
              </w:rPr>
              <w:t>Considerations for Marketed Products</w:t>
            </w:r>
          </w:p>
        </w:tc>
      </w:tr>
      <w:tr w:rsidR="000C7FE2" w:rsidRPr="00B55920" w:rsidTr="00EB6C26">
        <w:tc>
          <w:tcPr>
            <w:tcW w:w="262" w:type="pct"/>
          </w:tcPr>
          <w:p w:rsidR="000C7FE2" w:rsidRPr="00B55920" w:rsidRDefault="00500945" w:rsidP="00FB63CF">
            <w:pPr>
              <w:snapToGrid w:val="0"/>
              <w:spacing w:beforeLines="50" w:before="180" w:afterLines="50" w:after="180" w:line="0" w:lineRule="atLeast"/>
              <w:contextualSpacing/>
              <w:jc w:val="center"/>
              <w:rPr>
                <w:rFonts w:eastAsia="標楷體" w:cstheme="minorHAnsi"/>
                <w:szCs w:val="24"/>
              </w:rPr>
            </w:pPr>
            <w:r w:rsidRPr="00B55920">
              <w:rPr>
                <w:rFonts w:eastAsia="標楷體" w:cstheme="minorHAnsi" w:hint="eastAsia"/>
                <w:szCs w:val="24"/>
              </w:rPr>
              <w:t>4.1</w:t>
            </w:r>
          </w:p>
        </w:tc>
        <w:tc>
          <w:tcPr>
            <w:tcW w:w="1089" w:type="pct"/>
          </w:tcPr>
          <w:p w:rsidR="000C7FE2" w:rsidRPr="00B55920" w:rsidRDefault="00500945" w:rsidP="00FD05A3">
            <w:pPr>
              <w:snapToGrid w:val="0"/>
              <w:spacing w:beforeLines="50" w:before="180" w:afterLines="50" w:after="180" w:line="0" w:lineRule="atLeast"/>
              <w:contextualSpacing/>
              <w:rPr>
                <w:rFonts w:eastAsia="標楷體" w:cstheme="minorHAnsi"/>
                <w:szCs w:val="24"/>
              </w:rPr>
            </w:pPr>
            <w:r w:rsidRPr="00B55920">
              <w:rPr>
                <w:rFonts w:eastAsia="標楷體" w:cstheme="minorHAnsi"/>
                <w:szCs w:val="24"/>
              </w:rPr>
              <w:t xml:space="preserve">What does "significant increase in clinical dose" mean in "4.3 Changes to the Clinical Use of </w:t>
            </w:r>
            <w:r w:rsidRPr="00B55920">
              <w:rPr>
                <w:rFonts w:eastAsia="標楷體" w:cstheme="minorHAnsi"/>
                <w:szCs w:val="24"/>
              </w:rPr>
              <w:lastRenderedPageBreak/>
              <w:t>the Marketed Products"?</w:t>
            </w:r>
          </w:p>
        </w:tc>
        <w:tc>
          <w:tcPr>
            <w:tcW w:w="2679" w:type="pct"/>
          </w:tcPr>
          <w:p w:rsidR="00500945" w:rsidRPr="00B55920" w:rsidRDefault="00500945" w:rsidP="00500945">
            <w:pPr>
              <w:snapToGrid w:val="0"/>
              <w:spacing w:afterLines="50" w:after="180" w:line="0" w:lineRule="atLeast"/>
              <w:jc w:val="both"/>
              <w:rPr>
                <w:rFonts w:eastAsia="標楷體" w:cstheme="minorHAnsi"/>
                <w:szCs w:val="24"/>
              </w:rPr>
            </w:pPr>
            <w:r w:rsidRPr="00B55920">
              <w:rPr>
                <w:rFonts w:eastAsia="標楷體" w:cstheme="minorHAnsi"/>
                <w:szCs w:val="24"/>
              </w:rPr>
              <w:lastRenderedPageBreak/>
              <w:t xml:space="preserve">Any increase in dose of the active pharmaceutical ingredient (API) that would increase any mutagenic impurity to levels above the acceptable limits is considered </w:t>
            </w:r>
            <w:r w:rsidRPr="00B55920">
              <w:rPr>
                <w:rFonts w:eastAsia="標楷體" w:cstheme="minorHAnsi"/>
                <w:szCs w:val="24"/>
              </w:rPr>
              <w:lastRenderedPageBreak/>
              <w:t>significant (see Tables 2 and 3 and the addendum).</w:t>
            </w:r>
          </w:p>
          <w:p w:rsidR="000C7FE2" w:rsidRPr="00B55920" w:rsidRDefault="00500945" w:rsidP="00500945">
            <w:pPr>
              <w:snapToGrid w:val="0"/>
              <w:spacing w:afterLines="50" w:after="180" w:line="0" w:lineRule="atLeast"/>
              <w:jc w:val="both"/>
              <w:rPr>
                <w:rFonts w:eastAsia="標楷體" w:cstheme="minorHAnsi"/>
                <w:szCs w:val="24"/>
              </w:rPr>
            </w:pPr>
            <w:r w:rsidRPr="00B55920">
              <w:rPr>
                <w:rFonts w:eastAsia="標楷體" w:cstheme="minorHAnsi"/>
                <w:szCs w:val="24"/>
              </w:rPr>
              <w:t>In such cases a re-evaluation of the mutagenic impurity limits is recommended.</w:t>
            </w:r>
          </w:p>
        </w:tc>
        <w:tc>
          <w:tcPr>
            <w:tcW w:w="970" w:type="pct"/>
          </w:tcPr>
          <w:p w:rsidR="000C7FE2" w:rsidRPr="00B55920" w:rsidRDefault="000C7FE2" w:rsidP="00FD05A3">
            <w:pPr>
              <w:snapToGrid w:val="0"/>
              <w:spacing w:beforeLines="50" w:before="180" w:afterLines="50" w:after="180" w:line="0" w:lineRule="atLeast"/>
              <w:contextualSpacing/>
              <w:rPr>
                <w:rFonts w:eastAsia="標楷體" w:cstheme="minorHAnsi"/>
                <w:szCs w:val="24"/>
              </w:rPr>
            </w:pPr>
          </w:p>
        </w:tc>
      </w:tr>
      <w:tr w:rsidR="00500945" w:rsidRPr="00B55920" w:rsidTr="00FB63CF">
        <w:tc>
          <w:tcPr>
            <w:tcW w:w="5000" w:type="pct"/>
            <w:gridSpan w:val="4"/>
            <w:vAlign w:val="center"/>
          </w:tcPr>
          <w:p w:rsidR="00500945" w:rsidRPr="00B55920" w:rsidRDefault="00500945" w:rsidP="00FB63CF">
            <w:pPr>
              <w:snapToGrid w:val="0"/>
              <w:spacing w:beforeLines="50" w:before="180" w:afterLines="50" w:after="180" w:line="0" w:lineRule="atLeast"/>
              <w:contextualSpacing/>
              <w:jc w:val="both"/>
              <w:rPr>
                <w:rFonts w:eastAsia="標楷體" w:cstheme="minorHAnsi"/>
                <w:b/>
                <w:szCs w:val="24"/>
              </w:rPr>
            </w:pPr>
            <w:r w:rsidRPr="00B55920">
              <w:rPr>
                <w:rFonts w:eastAsia="標楷體" w:cstheme="minorHAnsi"/>
                <w:b/>
                <w:szCs w:val="24"/>
              </w:rPr>
              <w:t xml:space="preserve">5. </w:t>
            </w:r>
            <w:r w:rsidRPr="00B55920">
              <w:rPr>
                <w:rFonts w:eastAsia="標楷體" w:cstheme="minorHAnsi" w:hint="eastAsia"/>
                <w:b/>
                <w:szCs w:val="24"/>
              </w:rPr>
              <w:t>Drug Substance and Drug Product Impurity Assessment</w:t>
            </w:r>
          </w:p>
        </w:tc>
      </w:tr>
      <w:tr w:rsidR="003D2351" w:rsidRPr="00B55920" w:rsidTr="00EB6C26">
        <w:trPr>
          <w:trHeight w:val="53"/>
        </w:trPr>
        <w:tc>
          <w:tcPr>
            <w:tcW w:w="262" w:type="pct"/>
          </w:tcPr>
          <w:p w:rsidR="003D2351" w:rsidRPr="00B55920" w:rsidRDefault="003D2351" w:rsidP="007B5696">
            <w:pPr>
              <w:snapToGrid w:val="0"/>
              <w:spacing w:line="0" w:lineRule="atLeast"/>
              <w:contextualSpacing/>
              <w:jc w:val="center"/>
              <w:rPr>
                <w:rFonts w:eastAsia="標楷體" w:cstheme="minorHAnsi"/>
                <w:szCs w:val="24"/>
              </w:rPr>
            </w:pPr>
            <w:bookmarkStart w:id="0" w:name="_GoBack" w:colFirst="0" w:colLast="3"/>
          </w:p>
        </w:tc>
        <w:tc>
          <w:tcPr>
            <w:tcW w:w="1089" w:type="pct"/>
          </w:tcPr>
          <w:p w:rsidR="003D2351" w:rsidRPr="00B55920" w:rsidRDefault="00500945" w:rsidP="007B5696">
            <w:pPr>
              <w:snapToGrid w:val="0"/>
              <w:spacing w:line="0" w:lineRule="atLeast"/>
              <w:contextualSpacing/>
              <w:rPr>
                <w:rFonts w:eastAsia="標楷體" w:cstheme="minorHAnsi"/>
                <w:szCs w:val="24"/>
              </w:rPr>
            </w:pPr>
            <w:r w:rsidRPr="00B55920">
              <w:rPr>
                <w:rFonts w:eastAsia="標楷體" w:cstheme="minorHAnsi"/>
                <w:szCs w:val="24"/>
              </w:rPr>
              <w:t>No Q&amp;A drafted on this section</w:t>
            </w:r>
          </w:p>
        </w:tc>
        <w:tc>
          <w:tcPr>
            <w:tcW w:w="2679" w:type="pct"/>
          </w:tcPr>
          <w:p w:rsidR="003D2351" w:rsidRPr="00B55920" w:rsidRDefault="003D2351" w:rsidP="007B5696">
            <w:pPr>
              <w:snapToGrid w:val="0"/>
              <w:spacing w:line="0" w:lineRule="atLeast"/>
              <w:jc w:val="both"/>
              <w:rPr>
                <w:rFonts w:eastAsia="標楷體" w:cstheme="minorHAnsi"/>
                <w:szCs w:val="24"/>
              </w:rPr>
            </w:pPr>
          </w:p>
        </w:tc>
        <w:tc>
          <w:tcPr>
            <w:tcW w:w="970" w:type="pct"/>
          </w:tcPr>
          <w:p w:rsidR="003D2351" w:rsidRPr="00B55920" w:rsidRDefault="003D2351" w:rsidP="007B5696">
            <w:pPr>
              <w:snapToGrid w:val="0"/>
              <w:spacing w:line="0" w:lineRule="atLeast"/>
              <w:contextualSpacing/>
              <w:rPr>
                <w:rFonts w:eastAsia="標楷體" w:cstheme="minorHAnsi"/>
                <w:szCs w:val="24"/>
              </w:rPr>
            </w:pPr>
          </w:p>
        </w:tc>
      </w:tr>
      <w:bookmarkEnd w:id="0"/>
      <w:tr w:rsidR="00500945" w:rsidRPr="00B55920" w:rsidTr="00FB63CF">
        <w:tc>
          <w:tcPr>
            <w:tcW w:w="5000" w:type="pct"/>
            <w:gridSpan w:val="4"/>
            <w:vAlign w:val="center"/>
          </w:tcPr>
          <w:p w:rsidR="00500945" w:rsidRPr="00B55920" w:rsidRDefault="00500945" w:rsidP="00FB63CF">
            <w:pPr>
              <w:snapToGrid w:val="0"/>
              <w:spacing w:beforeLines="50" w:before="180" w:afterLines="50" w:after="180" w:line="0" w:lineRule="atLeast"/>
              <w:contextualSpacing/>
              <w:jc w:val="both"/>
              <w:rPr>
                <w:rFonts w:eastAsia="標楷體" w:cstheme="minorHAnsi"/>
                <w:b/>
                <w:szCs w:val="24"/>
              </w:rPr>
            </w:pPr>
            <w:r w:rsidRPr="00B55920">
              <w:rPr>
                <w:rFonts w:eastAsia="標楷體" w:cstheme="minorHAnsi" w:hint="eastAsia"/>
                <w:b/>
                <w:szCs w:val="24"/>
              </w:rPr>
              <w:t>6. Hazard Assessment Elements</w:t>
            </w:r>
          </w:p>
        </w:tc>
      </w:tr>
      <w:tr w:rsidR="003D2351" w:rsidRPr="00B55920" w:rsidTr="00EB6C26">
        <w:trPr>
          <w:trHeight w:val="53"/>
        </w:trPr>
        <w:tc>
          <w:tcPr>
            <w:tcW w:w="262" w:type="pct"/>
          </w:tcPr>
          <w:p w:rsidR="003D2351" w:rsidRPr="00B55920" w:rsidRDefault="00500945" w:rsidP="00FB63CF">
            <w:pPr>
              <w:snapToGrid w:val="0"/>
              <w:spacing w:beforeLines="50" w:before="180" w:afterLines="50" w:after="180" w:line="0" w:lineRule="atLeast"/>
              <w:contextualSpacing/>
              <w:jc w:val="center"/>
              <w:rPr>
                <w:rFonts w:eastAsia="標楷體" w:cstheme="minorHAnsi"/>
                <w:szCs w:val="24"/>
              </w:rPr>
            </w:pPr>
            <w:r w:rsidRPr="00B55920">
              <w:rPr>
                <w:rFonts w:eastAsia="標楷體" w:cstheme="minorHAnsi" w:hint="eastAsia"/>
                <w:szCs w:val="24"/>
              </w:rPr>
              <w:t>6.1</w:t>
            </w:r>
          </w:p>
        </w:tc>
        <w:tc>
          <w:tcPr>
            <w:tcW w:w="1089" w:type="pct"/>
          </w:tcPr>
          <w:p w:rsidR="003D2351" w:rsidRPr="00B55920" w:rsidRDefault="00500945" w:rsidP="00A54E91">
            <w:pPr>
              <w:snapToGrid w:val="0"/>
              <w:spacing w:beforeLines="50" w:before="180" w:afterLines="50" w:after="180" w:line="0" w:lineRule="atLeast"/>
              <w:contextualSpacing/>
              <w:rPr>
                <w:rFonts w:eastAsia="標楷體" w:cstheme="minorHAnsi"/>
                <w:szCs w:val="24"/>
              </w:rPr>
            </w:pPr>
            <w:r w:rsidRPr="00B55920">
              <w:rPr>
                <w:rFonts w:eastAsia="標楷體" w:cstheme="minorHAnsi"/>
                <w:szCs w:val="24"/>
              </w:rPr>
              <w:t>What information and/or documentation should be provided to regulatory agencies to sufficiently demonstrate validation of (Q)SAR models that are developed in-house or are not commonly used?</w:t>
            </w:r>
          </w:p>
        </w:tc>
        <w:tc>
          <w:tcPr>
            <w:tcW w:w="2679" w:type="pct"/>
          </w:tcPr>
          <w:p w:rsidR="003D2351" w:rsidRPr="00B55920" w:rsidRDefault="00500945" w:rsidP="00A6027A">
            <w:pPr>
              <w:snapToGrid w:val="0"/>
              <w:spacing w:afterLines="50" w:after="180" w:line="0" w:lineRule="atLeast"/>
              <w:jc w:val="both"/>
              <w:rPr>
                <w:rFonts w:eastAsia="標楷體" w:cstheme="minorHAnsi"/>
                <w:szCs w:val="24"/>
              </w:rPr>
            </w:pPr>
            <w:r w:rsidRPr="00B55920">
              <w:rPr>
                <w:rFonts w:eastAsia="標楷體" w:cstheme="minorHAnsi"/>
                <w:szCs w:val="24"/>
              </w:rPr>
              <w:t>Section 6 of ICH M7 states that “(Q)SAR models utilizing these prediction methodologies should follow the general validation principles set forth by the Organization for Economic Co-operation and Development (OECD)” [OECD Validation, 2007].</w:t>
            </w:r>
          </w:p>
          <w:p w:rsidR="00500945" w:rsidRPr="00B55920" w:rsidRDefault="00500945" w:rsidP="00A6027A">
            <w:pPr>
              <w:snapToGrid w:val="0"/>
              <w:spacing w:afterLines="50" w:after="180" w:line="0" w:lineRule="atLeast"/>
              <w:jc w:val="both"/>
              <w:rPr>
                <w:rFonts w:eastAsia="標楷體" w:cstheme="minorHAnsi"/>
                <w:szCs w:val="24"/>
              </w:rPr>
            </w:pPr>
            <w:r w:rsidRPr="00B55920">
              <w:rPr>
                <w:rFonts w:eastAsia="標楷體" w:cstheme="minorHAnsi"/>
                <w:szCs w:val="24"/>
              </w:rPr>
              <w:t>In the context of ICH M7, the OECD Principles of (Q)SAR Validation are:</w:t>
            </w:r>
          </w:p>
          <w:p w:rsidR="00500945" w:rsidRPr="00B55920" w:rsidRDefault="00500945" w:rsidP="00500945">
            <w:pPr>
              <w:pStyle w:val="a8"/>
              <w:numPr>
                <w:ilvl w:val="0"/>
                <w:numId w:val="24"/>
              </w:numPr>
              <w:snapToGrid w:val="0"/>
              <w:spacing w:afterLines="50" w:after="180" w:line="0" w:lineRule="atLeast"/>
              <w:ind w:leftChars="0"/>
              <w:jc w:val="both"/>
              <w:rPr>
                <w:rFonts w:eastAsia="標楷體" w:cstheme="minorHAnsi"/>
                <w:szCs w:val="24"/>
              </w:rPr>
            </w:pPr>
            <w:r w:rsidRPr="00B55920">
              <w:rPr>
                <w:rFonts w:eastAsia="標楷體" w:cstheme="minorHAnsi"/>
                <w:szCs w:val="24"/>
              </w:rPr>
              <w:t>A defined endpoint – The model should be trained using experimental data generated according to the standard OECD protocol for the in vitro Bacterial Reverse Mutation Assay.</w:t>
            </w:r>
          </w:p>
          <w:p w:rsidR="00500945" w:rsidRPr="00B55920" w:rsidRDefault="00500945" w:rsidP="00500945">
            <w:pPr>
              <w:pStyle w:val="a8"/>
              <w:numPr>
                <w:ilvl w:val="0"/>
                <w:numId w:val="24"/>
              </w:numPr>
              <w:snapToGrid w:val="0"/>
              <w:spacing w:afterLines="50" w:after="180" w:line="0" w:lineRule="atLeast"/>
              <w:ind w:leftChars="0"/>
              <w:jc w:val="both"/>
              <w:rPr>
                <w:rFonts w:eastAsia="標楷體" w:cstheme="minorHAnsi"/>
                <w:szCs w:val="24"/>
              </w:rPr>
            </w:pPr>
            <w:r w:rsidRPr="00B55920">
              <w:rPr>
                <w:rFonts w:eastAsia="標楷體" w:cstheme="minorHAnsi"/>
                <w:szCs w:val="24"/>
              </w:rPr>
              <w:t>An unambiguous algorithm – The algorithm used to construct the model should be disclosed. It should be clear whether the model is considered statistical (constructed via machine learning) or expert rule-based (created from human expert-derived knowledge).</w:t>
            </w:r>
          </w:p>
          <w:p w:rsidR="00500945" w:rsidRPr="00B55920" w:rsidRDefault="00500945" w:rsidP="00500945">
            <w:pPr>
              <w:pStyle w:val="a8"/>
              <w:numPr>
                <w:ilvl w:val="0"/>
                <w:numId w:val="24"/>
              </w:numPr>
              <w:snapToGrid w:val="0"/>
              <w:spacing w:afterLines="50" w:after="180" w:line="0" w:lineRule="atLeast"/>
              <w:ind w:leftChars="0"/>
              <w:jc w:val="both"/>
              <w:rPr>
                <w:rFonts w:eastAsia="標楷體" w:cstheme="minorHAnsi"/>
                <w:szCs w:val="24"/>
              </w:rPr>
            </w:pPr>
            <w:r w:rsidRPr="00B55920">
              <w:rPr>
                <w:rFonts w:eastAsia="標楷體" w:cstheme="minorHAnsi"/>
                <w:szCs w:val="24"/>
              </w:rPr>
              <w:t>A defined domain of applicability – Describe whether a test chemical falls within the model’s applicability domain and how it is calculated. It should warn the user when the model does not have enough information to make a reliable prediction on a chemical.</w:t>
            </w:r>
          </w:p>
          <w:p w:rsidR="00500945" w:rsidRPr="00B55920" w:rsidRDefault="00500945" w:rsidP="00500945">
            <w:pPr>
              <w:pStyle w:val="a8"/>
              <w:numPr>
                <w:ilvl w:val="0"/>
                <w:numId w:val="24"/>
              </w:numPr>
              <w:snapToGrid w:val="0"/>
              <w:spacing w:afterLines="50" w:after="180" w:line="0" w:lineRule="atLeast"/>
              <w:ind w:leftChars="0"/>
              <w:jc w:val="both"/>
              <w:rPr>
                <w:rFonts w:eastAsia="標楷體" w:cstheme="minorHAnsi"/>
                <w:szCs w:val="24"/>
              </w:rPr>
            </w:pPr>
            <w:r w:rsidRPr="00B55920">
              <w:rPr>
                <w:rFonts w:eastAsia="標楷體" w:cstheme="minorHAnsi"/>
                <w:szCs w:val="24"/>
              </w:rPr>
              <w:t>Appropriate measures of goodness-of–fit, robustness and predictivity – The model should be evaluated and shown to be sufficiently predictive of bacterial reverse mutagenicity. Standard validation techniques that should be used are recall, cross-validation, and external validation. Evidence that the model has not been over-fit should also be provided.</w:t>
            </w:r>
          </w:p>
          <w:p w:rsidR="00500945" w:rsidRPr="00B55920" w:rsidRDefault="00500945" w:rsidP="00500945">
            <w:pPr>
              <w:pStyle w:val="a8"/>
              <w:numPr>
                <w:ilvl w:val="0"/>
                <w:numId w:val="24"/>
              </w:numPr>
              <w:snapToGrid w:val="0"/>
              <w:spacing w:afterLines="50" w:after="180" w:line="0" w:lineRule="atLeast"/>
              <w:ind w:leftChars="0"/>
              <w:jc w:val="both"/>
              <w:rPr>
                <w:rFonts w:eastAsia="標楷體" w:cstheme="minorHAnsi"/>
                <w:szCs w:val="24"/>
              </w:rPr>
            </w:pPr>
            <w:r w:rsidRPr="00B55920">
              <w:rPr>
                <w:rFonts w:eastAsia="標楷體" w:cstheme="minorHAnsi"/>
                <w:szCs w:val="24"/>
              </w:rPr>
              <w:t>A mechanistic interpretation - Is there adequate information to allow an assessment of mechanistic relevance to be made (e.g., specific descriptors)?</w:t>
            </w:r>
          </w:p>
          <w:p w:rsidR="00500945" w:rsidRPr="00B55920" w:rsidRDefault="00500945" w:rsidP="00500945">
            <w:pPr>
              <w:snapToGrid w:val="0"/>
              <w:spacing w:afterLines="50" w:after="180" w:line="0" w:lineRule="atLeast"/>
              <w:jc w:val="both"/>
              <w:rPr>
                <w:rFonts w:eastAsia="標楷體" w:cstheme="minorHAnsi"/>
                <w:szCs w:val="24"/>
              </w:rPr>
            </w:pPr>
            <w:r w:rsidRPr="00B55920">
              <w:rPr>
                <w:rFonts w:eastAsia="標楷體" w:cstheme="minorHAnsi"/>
                <w:szCs w:val="24"/>
              </w:rPr>
              <w:t xml:space="preserve">For any system developed in house or not commonly used, to demonstrate how </w:t>
            </w:r>
            <w:r w:rsidRPr="00B55920">
              <w:rPr>
                <w:rFonts w:eastAsia="標楷體" w:cstheme="minorHAnsi"/>
                <w:szCs w:val="24"/>
              </w:rPr>
              <w:lastRenderedPageBreak/>
              <w:t>each model follows these principles and to understand how a (Q)SAR model was developed and validated, submission of the OECD (Q)SAR Model Reporting Format (QMRF) [OECD QRMF, 2017] for each model used should accompany each regulatory submission. A harmonized template for the QMRF was developed by the Joint Research Centre (JRC) and EU Member State authorities. This template summarizes and reports key information on (Q)SAR models, including the results of any validation studies as well as provides supplementary information on applicability of the model to a given chemical.</w:t>
            </w:r>
          </w:p>
        </w:tc>
        <w:tc>
          <w:tcPr>
            <w:tcW w:w="970" w:type="pct"/>
          </w:tcPr>
          <w:p w:rsidR="003D2351" w:rsidRPr="00B55920" w:rsidRDefault="003D2351" w:rsidP="00A54E91">
            <w:pPr>
              <w:snapToGrid w:val="0"/>
              <w:spacing w:beforeLines="50" w:before="180" w:afterLines="50" w:after="180" w:line="0" w:lineRule="atLeast"/>
              <w:contextualSpacing/>
              <w:rPr>
                <w:rFonts w:eastAsia="標楷體" w:cstheme="minorHAnsi"/>
                <w:szCs w:val="24"/>
              </w:rPr>
            </w:pPr>
          </w:p>
        </w:tc>
      </w:tr>
      <w:tr w:rsidR="003D2351" w:rsidRPr="00B55920" w:rsidTr="00EB6C26">
        <w:trPr>
          <w:trHeight w:val="1574"/>
        </w:trPr>
        <w:tc>
          <w:tcPr>
            <w:tcW w:w="262" w:type="pct"/>
          </w:tcPr>
          <w:p w:rsidR="003D2351" w:rsidRPr="00B55920" w:rsidRDefault="00500945" w:rsidP="00FB63CF">
            <w:pPr>
              <w:snapToGrid w:val="0"/>
              <w:spacing w:beforeLines="50" w:before="180" w:afterLines="50" w:after="180" w:line="0" w:lineRule="atLeast"/>
              <w:contextualSpacing/>
              <w:jc w:val="center"/>
              <w:rPr>
                <w:rFonts w:eastAsia="標楷體" w:cstheme="minorHAnsi"/>
                <w:szCs w:val="24"/>
              </w:rPr>
            </w:pPr>
            <w:r w:rsidRPr="00B55920">
              <w:rPr>
                <w:rFonts w:eastAsia="標楷體" w:cstheme="minorHAnsi" w:hint="eastAsia"/>
                <w:szCs w:val="24"/>
              </w:rPr>
              <w:t>6.2</w:t>
            </w:r>
          </w:p>
        </w:tc>
        <w:tc>
          <w:tcPr>
            <w:tcW w:w="1089" w:type="pct"/>
          </w:tcPr>
          <w:p w:rsidR="003D2351" w:rsidRPr="00B55920" w:rsidRDefault="00500945" w:rsidP="00A54E91">
            <w:pPr>
              <w:snapToGrid w:val="0"/>
              <w:spacing w:beforeLines="50" w:before="180" w:afterLines="50" w:after="180" w:line="0" w:lineRule="atLeast"/>
              <w:contextualSpacing/>
              <w:rPr>
                <w:rFonts w:eastAsia="標楷體" w:cstheme="minorHAnsi"/>
                <w:szCs w:val="24"/>
              </w:rPr>
            </w:pPr>
            <w:r w:rsidRPr="00B55920">
              <w:rPr>
                <w:rFonts w:eastAsia="標楷體" w:cstheme="minorHAnsi"/>
                <w:szCs w:val="24"/>
              </w:rPr>
              <w:t>When an out of domain or non-coverage result is obtained from one of the two (Q)SAR models as described in ICH M7, can the impurity be classified as a Class 5 impurity?</w:t>
            </w:r>
          </w:p>
        </w:tc>
        <w:tc>
          <w:tcPr>
            <w:tcW w:w="2679" w:type="pct"/>
          </w:tcPr>
          <w:p w:rsidR="00500945" w:rsidRPr="00B55920" w:rsidRDefault="00500945" w:rsidP="00500945">
            <w:pPr>
              <w:snapToGrid w:val="0"/>
              <w:spacing w:afterLines="50" w:after="180" w:line="0" w:lineRule="atLeast"/>
              <w:jc w:val="both"/>
              <w:rPr>
                <w:rFonts w:eastAsia="標楷體" w:cstheme="minorHAnsi"/>
                <w:szCs w:val="24"/>
              </w:rPr>
            </w:pPr>
            <w:r w:rsidRPr="00B55920">
              <w:rPr>
                <w:rFonts w:eastAsia="標楷體" w:cstheme="minorHAnsi"/>
                <w:szCs w:val="24"/>
              </w:rPr>
              <w:t>No. Out of domain or non-coverage is not considered equivalent to class 5. Additional assessment is warranted.</w:t>
            </w:r>
          </w:p>
          <w:p w:rsidR="003D2351" w:rsidRPr="00B55920" w:rsidRDefault="00500945" w:rsidP="00500945">
            <w:pPr>
              <w:snapToGrid w:val="0"/>
              <w:spacing w:afterLines="50" w:after="180" w:line="0" w:lineRule="atLeast"/>
              <w:jc w:val="both"/>
              <w:rPr>
                <w:rFonts w:eastAsia="標楷體" w:cstheme="minorHAnsi"/>
                <w:szCs w:val="24"/>
              </w:rPr>
            </w:pPr>
            <w:r w:rsidRPr="00B55920">
              <w:rPr>
                <w:rFonts w:eastAsia="標楷體" w:cstheme="minorHAnsi"/>
                <w:szCs w:val="24"/>
              </w:rPr>
              <w:t>Given that the relationship between chemical structure and DNA reactivity is well understood, it is unlikely that a structure with mutagenic potential would be associated with an out of domain result. However, expert review can provide reassurance in assignment of such impurities to class 5.</w:t>
            </w:r>
          </w:p>
          <w:p w:rsidR="00500945" w:rsidRPr="00B55920" w:rsidRDefault="00500945" w:rsidP="00500945">
            <w:pPr>
              <w:snapToGrid w:val="0"/>
              <w:spacing w:afterLines="50" w:after="180" w:line="0" w:lineRule="atLeast"/>
              <w:jc w:val="both"/>
              <w:rPr>
                <w:rFonts w:eastAsia="標楷體" w:cstheme="minorHAnsi"/>
                <w:szCs w:val="24"/>
              </w:rPr>
            </w:pPr>
            <w:r w:rsidRPr="00B55920">
              <w:rPr>
                <w:rFonts w:eastAsia="標楷體" w:cstheme="minorHAnsi"/>
                <w:szCs w:val="24"/>
              </w:rPr>
              <w:t>Expert review may include one or a combination of the following [Amberg et. al., 2019]:</w:t>
            </w:r>
          </w:p>
          <w:p w:rsidR="00500945" w:rsidRPr="00B55920" w:rsidRDefault="00500945" w:rsidP="00500945">
            <w:pPr>
              <w:pStyle w:val="a8"/>
              <w:numPr>
                <w:ilvl w:val="0"/>
                <w:numId w:val="25"/>
              </w:numPr>
              <w:snapToGrid w:val="0"/>
              <w:spacing w:afterLines="50" w:after="180" w:line="0" w:lineRule="atLeast"/>
              <w:ind w:leftChars="0"/>
              <w:jc w:val="both"/>
              <w:rPr>
                <w:rFonts w:eastAsia="標楷體" w:cstheme="minorHAnsi"/>
                <w:szCs w:val="24"/>
              </w:rPr>
            </w:pPr>
            <w:r w:rsidRPr="00B55920">
              <w:rPr>
                <w:rFonts w:eastAsia="標楷體" w:cstheme="minorHAnsi"/>
                <w:szCs w:val="24"/>
              </w:rPr>
              <w:t>Comparison to structurally similar analogs for which bacterial reverse mutation assay data are available (read-across approach)</w:t>
            </w:r>
          </w:p>
          <w:p w:rsidR="00500945" w:rsidRPr="00B55920" w:rsidRDefault="00500945" w:rsidP="00500945">
            <w:pPr>
              <w:pStyle w:val="a8"/>
              <w:numPr>
                <w:ilvl w:val="0"/>
                <w:numId w:val="25"/>
              </w:numPr>
              <w:snapToGrid w:val="0"/>
              <w:spacing w:afterLines="50" w:after="180" w:line="0" w:lineRule="atLeast"/>
              <w:ind w:leftChars="0"/>
              <w:jc w:val="both"/>
              <w:rPr>
                <w:rFonts w:eastAsia="標楷體" w:cstheme="minorHAnsi"/>
                <w:szCs w:val="24"/>
              </w:rPr>
            </w:pPr>
            <w:r w:rsidRPr="00B55920">
              <w:rPr>
                <w:rFonts w:eastAsia="標楷體" w:cstheme="minorHAnsi"/>
                <w:szCs w:val="24"/>
              </w:rPr>
              <w:t>Expert review of the chemical structure to determine if there is potential for the chemical to react with DNA.</w:t>
            </w:r>
          </w:p>
          <w:p w:rsidR="00500945" w:rsidRPr="00B55920" w:rsidRDefault="00500945" w:rsidP="00500945">
            <w:pPr>
              <w:pStyle w:val="a8"/>
              <w:numPr>
                <w:ilvl w:val="0"/>
                <w:numId w:val="25"/>
              </w:numPr>
              <w:snapToGrid w:val="0"/>
              <w:spacing w:afterLines="50" w:after="180" w:line="0" w:lineRule="atLeast"/>
              <w:ind w:leftChars="0"/>
              <w:jc w:val="both"/>
              <w:rPr>
                <w:rFonts w:eastAsia="標楷體" w:cstheme="minorHAnsi"/>
                <w:szCs w:val="24"/>
              </w:rPr>
            </w:pPr>
            <w:r w:rsidRPr="00B55920">
              <w:rPr>
                <w:rFonts w:eastAsia="標楷體" w:cstheme="minorHAnsi"/>
                <w:szCs w:val="24"/>
              </w:rPr>
              <w:t>(Q)SAR output from an additional validated model (see Question 6.1) of the same methodology (i.e., expert rule-based or statistical) that generates a prediction that is within its applicability domain</w:t>
            </w:r>
          </w:p>
        </w:tc>
        <w:tc>
          <w:tcPr>
            <w:tcW w:w="970" w:type="pct"/>
          </w:tcPr>
          <w:p w:rsidR="003D2351" w:rsidRPr="00B55920" w:rsidRDefault="003D2351" w:rsidP="00A54E91">
            <w:pPr>
              <w:snapToGrid w:val="0"/>
              <w:spacing w:beforeLines="50" w:before="180" w:afterLines="50" w:after="180" w:line="0" w:lineRule="atLeast"/>
              <w:contextualSpacing/>
              <w:rPr>
                <w:rFonts w:eastAsia="標楷體" w:cstheme="minorHAnsi"/>
                <w:szCs w:val="24"/>
              </w:rPr>
            </w:pPr>
          </w:p>
        </w:tc>
      </w:tr>
      <w:tr w:rsidR="003D2351" w:rsidRPr="00B55920" w:rsidTr="00EB6C26">
        <w:tc>
          <w:tcPr>
            <w:tcW w:w="262" w:type="pct"/>
          </w:tcPr>
          <w:p w:rsidR="003D2351" w:rsidRPr="00B55920" w:rsidRDefault="00500945" w:rsidP="00FB63CF">
            <w:pPr>
              <w:snapToGrid w:val="0"/>
              <w:spacing w:beforeLines="50" w:before="180" w:afterLines="50" w:after="180" w:line="0" w:lineRule="atLeast"/>
              <w:contextualSpacing/>
              <w:jc w:val="center"/>
              <w:rPr>
                <w:rFonts w:eastAsia="標楷體" w:cstheme="minorHAnsi"/>
                <w:szCs w:val="24"/>
              </w:rPr>
            </w:pPr>
            <w:r w:rsidRPr="00B55920">
              <w:rPr>
                <w:rFonts w:eastAsia="標楷體" w:cstheme="minorHAnsi" w:hint="eastAsia"/>
                <w:szCs w:val="24"/>
              </w:rPr>
              <w:t>6.3</w:t>
            </w:r>
          </w:p>
        </w:tc>
        <w:tc>
          <w:tcPr>
            <w:tcW w:w="1089" w:type="pct"/>
          </w:tcPr>
          <w:p w:rsidR="003D2351" w:rsidRPr="00B55920" w:rsidRDefault="00500945" w:rsidP="00A54E91">
            <w:pPr>
              <w:snapToGrid w:val="0"/>
              <w:spacing w:beforeLines="50" w:before="180" w:afterLines="50" w:after="180" w:line="0" w:lineRule="atLeast"/>
              <w:contextualSpacing/>
              <w:rPr>
                <w:rFonts w:eastAsia="標楷體" w:cstheme="minorHAnsi"/>
                <w:szCs w:val="24"/>
              </w:rPr>
            </w:pPr>
            <w:r w:rsidRPr="00B55920">
              <w:rPr>
                <w:rFonts w:eastAsia="標楷體" w:cstheme="minorHAnsi"/>
                <w:szCs w:val="24"/>
              </w:rPr>
              <w:t>In a case where an impurity is demonstrated to be negative in an Ames study but positive in a clastogenicity study (e.g., chromosomal aberration test), how would the impurity be classified per the ICH M7 classification system?</w:t>
            </w:r>
          </w:p>
        </w:tc>
        <w:tc>
          <w:tcPr>
            <w:tcW w:w="2679" w:type="pct"/>
          </w:tcPr>
          <w:p w:rsidR="003D2351" w:rsidRPr="00B55920" w:rsidRDefault="00500945" w:rsidP="00E209B7">
            <w:pPr>
              <w:snapToGrid w:val="0"/>
              <w:spacing w:afterLines="50" w:after="180" w:line="0" w:lineRule="atLeast"/>
              <w:jc w:val="both"/>
              <w:rPr>
                <w:rFonts w:eastAsia="標楷體" w:cstheme="minorHAnsi"/>
                <w:szCs w:val="24"/>
              </w:rPr>
            </w:pPr>
            <w:r w:rsidRPr="00B55920">
              <w:rPr>
                <w:rFonts w:eastAsia="標楷體" w:cstheme="minorHAnsi"/>
                <w:szCs w:val="24"/>
              </w:rPr>
              <w:t>If an impurity tests negative in an Ames assay, it is considered a Class 5 impurity. Addressing positive results in a clastogenicity assay is out of scope of ICH M7.</w:t>
            </w:r>
          </w:p>
        </w:tc>
        <w:tc>
          <w:tcPr>
            <w:tcW w:w="970" w:type="pct"/>
          </w:tcPr>
          <w:p w:rsidR="003D2351" w:rsidRPr="00B55920" w:rsidRDefault="003D2351" w:rsidP="00A54E91">
            <w:pPr>
              <w:snapToGrid w:val="0"/>
              <w:spacing w:beforeLines="50" w:before="180" w:afterLines="50" w:after="180" w:line="0" w:lineRule="atLeast"/>
              <w:contextualSpacing/>
              <w:rPr>
                <w:rFonts w:eastAsia="標楷體" w:cstheme="minorHAnsi"/>
                <w:szCs w:val="24"/>
              </w:rPr>
            </w:pPr>
          </w:p>
        </w:tc>
      </w:tr>
      <w:tr w:rsidR="003D2351" w:rsidRPr="00B55920" w:rsidTr="00EB6C26">
        <w:trPr>
          <w:trHeight w:val="990"/>
        </w:trPr>
        <w:tc>
          <w:tcPr>
            <w:tcW w:w="262" w:type="pct"/>
          </w:tcPr>
          <w:p w:rsidR="003D2351" w:rsidRPr="00B55920" w:rsidRDefault="00500945" w:rsidP="00FB63CF">
            <w:pPr>
              <w:snapToGrid w:val="0"/>
              <w:spacing w:beforeLines="50" w:before="180" w:afterLines="50" w:after="180" w:line="0" w:lineRule="atLeast"/>
              <w:contextualSpacing/>
              <w:jc w:val="center"/>
              <w:rPr>
                <w:rFonts w:eastAsia="標楷體" w:cstheme="minorHAnsi"/>
                <w:szCs w:val="24"/>
              </w:rPr>
            </w:pPr>
            <w:r w:rsidRPr="00B55920">
              <w:rPr>
                <w:rFonts w:eastAsia="標楷體" w:cstheme="minorHAnsi" w:hint="eastAsia"/>
                <w:szCs w:val="24"/>
              </w:rPr>
              <w:lastRenderedPageBreak/>
              <w:t>6.4</w:t>
            </w:r>
          </w:p>
        </w:tc>
        <w:tc>
          <w:tcPr>
            <w:tcW w:w="1089" w:type="pct"/>
          </w:tcPr>
          <w:p w:rsidR="003D2351" w:rsidRPr="00B55920" w:rsidRDefault="00500945" w:rsidP="00A54E91">
            <w:pPr>
              <w:snapToGrid w:val="0"/>
              <w:spacing w:beforeLines="50" w:before="180" w:afterLines="50" w:after="180" w:line="0" w:lineRule="atLeast"/>
              <w:contextualSpacing/>
              <w:rPr>
                <w:rFonts w:eastAsia="標楷體" w:cstheme="minorHAnsi"/>
                <w:szCs w:val="24"/>
              </w:rPr>
            </w:pPr>
            <w:r w:rsidRPr="00B55920">
              <w:rPr>
                <w:rFonts w:eastAsia="標楷體" w:cstheme="minorHAnsi"/>
                <w:szCs w:val="24"/>
              </w:rPr>
              <w:t>Please clarify the rationale for the tests included under Note 3 as a follow-up to investigate the in vivo relevance of Ames mutagen.</w:t>
            </w:r>
          </w:p>
        </w:tc>
        <w:tc>
          <w:tcPr>
            <w:tcW w:w="2679" w:type="pct"/>
          </w:tcPr>
          <w:p w:rsidR="00500945" w:rsidRPr="00B55920" w:rsidRDefault="00500945" w:rsidP="00500945">
            <w:pPr>
              <w:snapToGrid w:val="0"/>
              <w:spacing w:afterLines="50" w:after="180" w:line="0" w:lineRule="atLeast"/>
              <w:jc w:val="both"/>
              <w:rPr>
                <w:rFonts w:eastAsia="標楷體" w:cstheme="minorHAnsi"/>
                <w:szCs w:val="24"/>
              </w:rPr>
            </w:pPr>
            <w:r w:rsidRPr="00B55920">
              <w:rPr>
                <w:rFonts w:eastAsia="標楷體" w:cstheme="minorHAnsi"/>
                <w:szCs w:val="24"/>
              </w:rPr>
              <w:t>If an impurity is positive in the Ames test, an in vivo follow-up test with mutagenic endpoint (mutagenicity) should be used. The other follow-up tests outlined in Note 3 are also acceptable when scientific rationale is provided to support their use.</w:t>
            </w:r>
          </w:p>
          <w:p w:rsidR="003D2351" w:rsidRPr="00B55920" w:rsidRDefault="00500945" w:rsidP="00500945">
            <w:pPr>
              <w:snapToGrid w:val="0"/>
              <w:spacing w:afterLines="50" w:after="180" w:line="0" w:lineRule="atLeast"/>
              <w:jc w:val="both"/>
              <w:rPr>
                <w:rFonts w:eastAsia="標楷體" w:cstheme="minorHAnsi"/>
                <w:szCs w:val="24"/>
              </w:rPr>
            </w:pPr>
            <w:r w:rsidRPr="00B55920">
              <w:rPr>
                <w:rFonts w:eastAsia="標楷體" w:cstheme="minorHAnsi"/>
                <w:szCs w:val="24"/>
              </w:rPr>
              <w:t>For any of the above tests, adequate exposure should be demonstrated in line with ICH S2.</w:t>
            </w:r>
          </w:p>
        </w:tc>
        <w:tc>
          <w:tcPr>
            <w:tcW w:w="970" w:type="pct"/>
          </w:tcPr>
          <w:p w:rsidR="003D2351" w:rsidRPr="00B55920" w:rsidRDefault="003D2351" w:rsidP="00A54E91">
            <w:pPr>
              <w:snapToGrid w:val="0"/>
              <w:spacing w:beforeLines="50" w:before="180" w:afterLines="50" w:after="180" w:line="0" w:lineRule="atLeast"/>
              <w:contextualSpacing/>
              <w:rPr>
                <w:rFonts w:eastAsia="標楷體" w:cstheme="minorHAnsi"/>
                <w:szCs w:val="24"/>
              </w:rPr>
            </w:pPr>
          </w:p>
        </w:tc>
      </w:tr>
      <w:tr w:rsidR="00500945" w:rsidRPr="00B55920" w:rsidTr="00FB63CF">
        <w:tc>
          <w:tcPr>
            <w:tcW w:w="5000" w:type="pct"/>
            <w:gridSpan w:val="4"/>
            <w:vAlign w:val="center"/>
          </w:tcPr>
          <w:p w:rsidR="00500945" w:rsidRPr="00B55920" w:rsidRDefault="00500945" w:rsidP="00FB63CF">
            <w:pPr>
              <w:snapToGrid w:val="0"/>
              <w:spacing w:beforeLines="50" w:before="180" w:afterLines="50" w:after="180" w:line="0" w:lineRule="atLeast"/>
              <w:contextualSpacing/>
              <w:jc w:val="both"/>
              <w:rPr>
                <w:rFonts w:eastAsia="標楷體" w:cstheme="minorHAnsi"/>
                <w:b/>
                <w:szCs w:val="24"/>
              </w:rPr>
            </w:pPr>
            <w:r w:rsidRPr="00B55920">
              <w:rPr>
                <w:rFonts w:eastAsia="標楷體" w:cstheme="minorHAnsi" w:hint="eastAsia"/>
                <w:b/>
                <w:szCs w:val="24"/>
              </w:rPr>
              <w:t xml:space="preserve">7. </w:t>
            </w:r>
            <w:r w:rsidRPr="00B55920">
              <w:rPr>
                <w:rFonts w:eastAsia="標楷體" w:cstheme="minorHAnsi"/>
                <w:b/>
                <w:szCs w:val="24"/>
              </w:rPr>
              <w:t>Risk Characterization</w:t>
            </w:r>
          </w:p>
        </w:tc>
      </w:tr>
      <w:tr w:rsidR="00500945" w:rsidRPr="00B55920" w:rsidTr="00EB6C26">
        <w:tc>
          <w:tcPr>
            <w:tcW w:w="262" w:type="pct"/>
          </w:tcPr>
          <w:p w:rsidR="00500945" w:rsidRPr="00B55920" w:rsidRDefault="00500945" w:rsidP="00FB63CF">
            <w:pPr>
              <w:snapToGrid w:val="0"/>
              <w:spacing w:beforeLines="50" w:before="180" w:afterLines="50" w:after="180" w:line="0" w:lineRule="atLeast"/>
              <w:contextualSpacing/>
              <w:jc w:val="center"/>
              <w:rPr>
                <w:rFonts w:eastAsia="標楷體" w:cstheme="minorHAnsi"/>
                <w:szCs w:val="24"/>
              </w:rPr>
            </w:pPr>
            <w:r w:rsidRPr="00B55920">
              <w:rPr>
                <w:rFonts w:eastAsia="標楷體" w:cstheme="minorHAnsi" w:hint="eastAsia"/>
                <w:szCs w:val="24"/>
              </w:rPr>
              <w:t>7.1</w:t>
            </w:r>
          </w:p>
        </w:tc>
        <w:tc>
          <w:tcPr>
            <w:tcW w:w="1089" w:type="pct"/>
          </w:tcPr>
          <w:p w:rsidR="00500945" w:rsidRPr="00B55920" w:rsidRDefault="00500945" w:rsidP="00A54E91">
            <w:pPr>
              <w:snapToGrid w:val="0"/>
              <w:spacing w:beforeLines="50" w:before="180" w:afterLines="50" w:after="180" w:line="0" w:lineRule="atLeast"/>
              <w:contextualSpacing/>
              <w:rPr>
                <w:rFonts w:eastAsia="標楷體" w:cstheme="minorHAnsi"/>
                <w:szCs w:val="24"/>
              </w:rPr>
            </w:pPr>
            <w:r w:rsidRPr="00B55920">
              <w:rPr>
                <w:rFonts w:eastAsia="標楷體" w:cstheme="minorHAnsi"/>
                <w:szCs w:val="24"/>
              </w:rPr>
              <w:t>If an Ames positive impurity is subsequently tested in an appropriate in vivo assay and the results are clearly negative, is that sufficient to demonstrate lack of in vivo relevance?</w:t>
            </w:r>
          </w:p>
        </w:tc>
        <w:tc>
          <w:tcPr>
            <w:tcW w:w="2679" w:type="pct"/>
          </w:tcPr>
          <w:p w:rsidR="00500945" w:rsidRPr="00B55920" w:rsidRDefault="00500945" w:rsidP="00676F90">
            <w:pPr>
              <w:snapToGrid w:val="0"/>
              <w:spacing w:afterLines="50" w:after="180" w:line="0" w:lineRule="atLeast"/>
              <w:jc w:val="both"/>
              <w:rPr>
                <w:rFonts w:eastAsia="標楷體" w:cstheme="minorHAnsi"/>
                <w:szCs w:val="24"/>
              </w:rPr>
            </w:pPr>
            <w:r w:rsidRPr="00B55920">
              <w:rPr>
                <w:rFonts w:eastAsia="標楷體" w:cstheme="minorHAnsi"/>
                <w:szCs w:val="24"/>
              </w:rPr>
              <w:t>Yes. A well conducted and scientifically justified in vivo study (see question 6.4 in this document), is sufficient to demonstrate lack of in vivo mutagenic relevance. If the results of the in vivo study are clearly negative the impurity can be assigned to ICH M7, Class 5.</w:t>
            </w:r>
          </w:p>
        </w:tc>
        <w:tc>
          <w:tcPr>
            <w:tcW w:w="970" w:type="pct"/>
          </w:tcPr>
          <w:p w:rsidR="00500945" w:rsidRPr="00B55920" w:rsidRDefault="00500945" w:rsidP="00A54E91">
            <w:pPr>
              <w:snapToGrid w:val="0"/>
              <w:spacing w:beforeLines="50" w:before="180" w:afterLines="50" w:after="180" w:line="0" w:lineRule="atLeast"/>
              <w:contextualSpacing/>
              <w:rPr>
                <w:rFonts w:eastAsia="標楷體" w:cstheme="minorHAnsi"/>
                <w:szCs w:val="24"/>
              </w:rPr>
            </w:pPr>
          </w:p>
        </w:tc>
      </w:tr>
      <w:tr w:rsidR="00500945" w:rsidRPr="00B55920" w:rsidTr="00EB6C26">
        <w:tc>
          <w:tcPr>
            <w:tcW w:w="262" w:type="pct"/>
          </w:tcPr>
          <w:p w:rsidR="00500945" w:rsidRPr="00B55920" w:rsidRDefault="00500945" w:rsidP="00FB63CF">
            <w:pPr>
              <w:snapToGrid w:val="0"/>
              <w:spacing w:beforeLines="50" w:before="180" w:afterLines="50" w:after="180" w:line="0" w:lineRule="atLeast"/>
              <w:contextualSpacing/>
              <w:jc w:val="center"/>
              <w:rPr>
                <w:rFonts w:eastAsia="標楷體" w:cstheme="minorHAnsi"/>
                <w:szCs w:val="24"/>
              </w:rPr>
            </w:pPr>
            <w:r w:rsidRPr="00B55920">
              <w:rPr>
                <w:rFonts w:eastAsia="標楷體" w:cstheme="minorHAnsi" w:hint="eastAsia"/>
                <w:szCs w:val="24"/>
              </w:rPr>
              <w:t>7.2</w:t>
            </w:r>
          </w:p>
        </w:tc>
        <w:tc>
          <w:tcPr>
            <w:tcW w:w="1089" w:type="pct"/>
          </w:tcPr>
          <w:p w:rsidR="00500945" w:rsidRPr="00B55920" w:rsidRDefault="00500945" w:rsidP="00A54E91">
            <w:pPr>
              <w:snapToGrid w:val="0"/>
              <w:spacing w:beforeLines="50" w:before="180" w:afterLines="50" w:after="180" w:line="0" w:lineRule="atLeast"/>
              <w:contextualSpacing/>
              <w:rPr>
                <w:rFonts w:eastAsia="標楷體" w:cstheme="minorHAnsi"/>
                <w:szCs w:val="24"/>
              </w:rPr>
            </w:pPr>
            <w:r w:rsidRPr="00B55920">
              <w:rPr>
                <w:rFonts w:eastAsia="標楷體" w:cstheme="minorHAnsi"/>
                <w:szCs w:val="24"/>
              </w:rPr>
              <w:t>If an Ames positive impurity is subsequently tested in an appropriate in vivo assay and the results are positive, does that support setting compound-specific impurity limits?</w:t>
            </w:r>
          </w:p>
        </w:tc>
        <w:tc>
          <w:tcPr>
            <w:tcW w:w="2679" w:type="pct"/>
          </w:tcPr>
          <w:p w:rsidR="00500945" w:rsidRPr="00B55920" w:rsidRDefault="00500945" w:rsidP="00676F90">
            <w:pPr>
              <w:snapToGrid w:val="0"/>
              <w:spacing w:afterLines="50" w:after="180" w:line="0" w:lineRule="atLeast"/>
              <w:jc w:val="both"/>
              <w:rPr>
                <w:rFonts w:eastAsia="標楷體" w:cstheme="minorHAnsi"/>
                <w:szCs w:val="24"/>
              </w:rPr>
            </w:pPr>
            <w:r w:rsidRPr="00B55920">
              <w:rPr>
                <w:rFonts w:eastAsia="標楷體" w:cstheme="minorHAnsi"/>
                <w:szCs w:val="24"/>
              </w:rPr>
              <w:t>No. In vivo gene mutation assays are currently not validated to directly assess cancer risk because the endpoint is mutation and not carcinogenicity (i.e., they are used for hazard identification). Results from these tests could identify mode of action and/or direct further testing strategy to complement the available data for a weight of evidence approach.</w:t>
            </w:r>
          </w:p>
        </w:tc>
        <w:tc>
          <w:tcPr>
            <w:tcW w:w="970" w:type="pct"/>
          </w:tcPr>
          <w:p w:rsidR="00500945" w:rsidRPr="00B55920" w:rsidRDefault="00500945" w:rsidP="00A54E91">
            <w:pPr>
              <w:snapToGrid w:val="0"/>
              <w:spacing w:beforeLines="50" w:before="180" w:afterLines="50" w:after="180" w:line="0" w:lineRule="atLeast"/>
              <w:contextualSpacing/>
              <w:rPr>
                <w:rFonts w:eastAsia="標楷體" w:cstheme="minorHAnsi"/>
                <w:szCs w:val="24"/>
              </w:rPr>
            </w:pPr>
          </w:p>
        </w:tc>
      </w:tr>
      <w:tr w:rsidR="00500945" w:rsidRPr="00B55920" w:rsidTr="00EB6C26">
        <w:tc>
          <w:tcPr>
            <w:tcW w:w="262" w:type="pct"/>
          </w:tcPr>
          <w:p w:rsidR="00500945" w:rsidRPr="00B55920" w:rsidRDefault="00500945" w:rsidP="00FB63CF">
            <w:pPr>
              <w:snapToGrid w:val="0"/>
              <w:spacing w:beforeLines="50" w:before="180" w:afterLines="50" w:after="180" w:line="0" w:lineRule="atLeast"/>
              <w:contextualSpacing/>
              <w:jc w:val="center"/>
              <w:rPr>
                <w:rFonts w:eastAsia="標楷體" w:cstheme="minorHAnsi"/>
                <w:szCs w:val="24"/>
              </w:rPr>
            </w:pPr>
            <w:r w:rsidRPr="00B55920">
              <w:rPr>
                <w:rFonts w:eastAsia="標楷體" w:cstheme="minorHAnsi" w:hint="eastAsia"/>
                <w:szCs w:val="24"/>
              </w:rPr>
              <w:t>7.3</w:t>
            </w:r>
          </w:p>
        </w:tc>
        <w:tc>
          <w:tcPr>
            <w:tcW w:w="1089" w:type="pct"/>
          </w:tcPr>
          <w:p w:rsidR="00500945" w:rsidRPr="00B55920" w:rsidRDefault="00500945" w:rsidP="00A54E91">
            <w:pPr>
              <w:snapToGrid w:val="0"/>
              <w:spacing w:beforeLines="50" w:before="180" w:afterLines="50" w:after="180" w:line="0" w:lineRule="atLeast"/>
              <w:contextualSpacing/>
              <w:rPr>
                <w:rFonts w:eastAsia="標楷體" w:cstheme="minorHAnsi"/>
                <w:szCs w:val="24"/>
              </w:rPr>
            </w:pPr>
            <w:r w:rsidRPr="00B55920">
              <w:rPr>
                <w:rFonts w:eastAsia="標楷體" w:cstheme="minorHAnsi"/>
                <w:szCs w:val="24"/>
              </w:rPr>
              <w:t>Can a less than lifetime (LTL) approach be applied to acceptable intakes (AIs) or permissible daily exposures (PDEs) using the same ratio as in Table 2?</w:t>
            </w:r>
          </w:p>
        </w:tc>
        <w:tc>
          <w:tcPr>
            <w:tcW w:w="2679" w:type="pct"/>
          </w:tcPr>
          <w:p w:rsidR="00500945" w:rsidRPr="00B55920" w:rsidRDefault="00500945" w:rsidP="00676F90">
            <w:pPr>
              <w:snapToGrid w:val="0"/>
              <w:spacing w:afterLines="50" w:after="180" w:line="0" w:lineRule="atLeast"/>
              <w:jc w:val="both"/>
              <w:rPr>
                <w:rFonts w:eastAsia="標楷體" w:cstheme="minorHAnsi"/>
                <w:szCs w:val="24"/>
              </w:rPr>
            </w:pPr>
            <w:r w:rsidRPr="00B55920">
              <w:rPr>
                <w:rFonts w:eastAsia="標楷體" w:cstheme="minorHAnsi"/>
                <w:szCs w:val="24"/>
              </w:rPr>
              <w:t>The LTL approach can be applied to compounds with exposure limits based on the TTC or a compound/class specific AI. However, this approach is not applicable to PDEs. Higher levels of exposure for short-term exposure (30 days or less) may be acceptable on a case by case basis</w:t>
            </w:r>
            <w:r w:rsidRPr="00B55920">
              <w:rPr>
                <w:rFonts w:eastAsia="標楷體" w:cstheme="minorHAnsi" w:hint="eastAsia"/>
                <w:szCs w:val="24"/>
              </w:rPr>
              <w:t>.</w:t>
            </w:r>
          </w:p>
        </w:tc>
        <w:tc>
          <w:tcPr>
            <w:tcW w:w="970" w:type="pct"/>
          </w:tcPr>
          <w:p w:rsidR="00500945" w:rsidRPr="00B55920" w:rsidRDefault="00500945" w:rsidP="00A54E91">
            <w:pPr>
              <w:snapToGrid w:val="0"/>
              <w:spacing w:beforeLines="50" w:before="180" w:afterLines="50" w:after="180" w:line="0" w:lineRule="atLeast"/>
              <w:contextualSpacing/>
              <w:rPr>
                <w:rFonts w:eastAsia="標楷體" w:cstheme="minorHAnsi"/>
                <w:szCs w:val="24"/>
              </w:rPr>
            </w:pPr>
          </w:p>
        </w:tc>
      </w:tr>
      <w:tr w:rsidR="00500945" w:rsidRPr="00B55920" w:rsidTr="00EB6C26">
        <w:tc>
          <w:tcPr>
            <w:tcW w:w="262" w:type="pct"/>
          </w:tcPr>
          <w:p w:rsidR="00500945" w:rsidRPr="00B55920" w:rsidRDefault="00500945" w:rsidP="00FB63CF">
            <w:pPr>
              <w:snapToGrid w:val="0"/>
              <w:spacing w:beforeLines="50" w:before="180" w:afterLines="50" w:after="180" w:line="0" w:lineRule="atLeast"/>
              <w:contextualSpacing/>
              <w:jc w:val="center"/>
              <w:rPr>
                <w:rFonts w:eastAsia="標楷體" w:cstheme="minorHAnsi"/>
                <w:szCs w:val="24"/>
              </w:rPr>
            </w:pPr>
            <w:r w:rsidRPr="00B55920">
              <w:rPr>
                <w:rFonts w:eastAsia="標楷體" w:cstheme="minorHAnsi" w:hint="eastAsia"/>
                <w:szCs w:val="24"/>
              </w:rPr>
              <w:t>7.4</w:t>
            </w:r>
          </w:p>
        </w:tc>
        <w:tc>
          <w:tcPr>
            <w:tcW w:w="1089" w:type="pct"/>
          </w:tcPr>
          <w:p w:rsidR="00500945" w:rsidRPr="00B55920" w:rsidRDefault="00500945" w:rsidP="00A54E91">
            <w:pPr>
              <w:snapToGrid w:val="0"/>
              <w:spacing w:beforeLines="50" w:before="180" w:afterLines="50" w:after="180" w:line="0" w:lineRule="atLeast"/>
              <w:contextualSpacing/>
              <w:rPr>
                <w:rFonts w:eastAsia="標楷體" w:cstheme="minorHAnsi"/>
                <w:szCs w:val="24"/>
              </w:rPr>
            </w:pPr>
            <w:r w:rsidRPr="00B55920">
              <w:rPr>
                <w:rFonts w:eastAsia="標楷體" w:cstheme="minorHAnsi"/>
                <w:szCs w:val="24"/>
              </w:rPr>
              <w:t>Why was HIV disease moved to the “Treatment duration of &gt;10 years to lifetime” in the clinical use scenarios table? How should this change be implemented?</w:t>
            </w:r>
          </w:p>
        </w:tc>
        <w:tc>
          <w:tcPr>
            <w:tcW w:w="2679" w:type="pct"/>
          </w:tcPr>
          <w:p w:rsidR="00500945" w:rsidRPr="00B55920" w:rsidRDefault="00E23537" w:rsidP="00E23537">
            <w:pPr>
              <w:snapToGrid w:val="0"/>
              <w:spacing w:afterLines="50" w:after="180" w:line="0" w:lineRule="atLeast"/>
              <w:jc w:val="both"/>
              <w:rPr>
                <w:rFonts w:eastAsia="標楷體" w:cstheme="minorHAnsi"/>
                <w:szCs w:val="24"/>
              </w:rPr>
            </w:pPr>
            <w:r w:rsidRPr="00B55920">
              <w:rPr>
                <w:rFonts w:eastAsia="標楷體" w:cstheme="minorHAnsi"/>
                <w:szCs w:val="24"/>
              </w:rPr>
              <w:t xml:space="preserve">The treatment duration category was changed because of advances in the clinical treatment of HIV disease. To avoid disruption of supply of HIV drugs already on the market, this change would not be applied to currently marketed products. For example, when a new drug substance supplier is </w:t>
            </w:r>
            <w:r w:rsidR="00BB5044" w:rsidRPr="00B55920">
              <w:rPr>
                <w:rFonts w:eastAsia="標楷體" w:cstheme="minorHAnsi"/>
                <w:szCs w:val="24"/>
              </w:rPr>
              <w:t>proposed, the acceptable intake</w:t>
            </w:r>
            <w:r w:rsidR="00BB5044" w:rsidRPr="00B55920">
              <w:rPr>
                <w:rFonts w:eastAsia="標楷體" w:cstheme="minorHAnsi" w:hint="eastAsia"/>
                <w:szCs w:val="24"/>
              </w:rPr>
              <w:t xml:space="preserve"> </w:t>
            </w:r>
            <w:r w:rsidRPr="00B55920">
              <w:rPr>
                <w:rFonts w:eastAsia="標楷體" w:cstheme="minorHAnsi"/>
                <w:szCs w:val="24"/>
              </w:rPr>
              <w:t>would remain at 10 μg/day in cases where the drug substance produced by this supplier, using the same route of synthesis, is a component of an existing drug product marketed in the specific region (see ICH M7 Section 4.1).</w:t>
            </w:r>
          </w:p>
          <w:p w:rsidR="00BB5044" w:rsidRPr="00B55920" w:rsidRDefault="00BB5044" w:rsidP="00E23537">
            <w:pPr>
              <w:snapToGrid w:val="0"/>
              <w:spacing w:afterLines="50" w:after="180" w:line="0" w:lineRule="atLeast"/>
              <w:jc w:val="both"/>
              <w:rPr>
                <w:rFonts w:eastAsia="標楷體" w:cstheme="minorHAnsi"/>
                <w:szCs w:val="24"/>
              </w:rPr>
            </w:pPr>
            <w:r w:rsidRPr="00B55920">
              <w:rPr>
                <w:rFonts w:eastAsia="標楷體" w:cstheme="minorHAnsi"/>
                <w:szCs w:val="24"/>
              </w:rPr>
              <w:t xml:space="preserve">For regulatory submissions 18 months after the date that the M7 Q&amp;A reached </w:t>
            </w:r>
            <w:r w:rsidRPr="00B55920">
              <w:rPr>
                <w:rFonts w:eastAsia="標楷體" w:cstheme="minorHAnsi"/>
                <w:szCs w:val="24"/>
              </w:rPr>
              <w:lastRenderedPageBreak/>
              <w:t>Step 4, the 1.5 μg/day or other appropriate acceptable intake would be applied in the following situations:</w:t>
            </w:r>
          </w:p>
          <w:p w:rsidR="00BB5044" w:rsidRPr="00B55920" w:rsidRDefault="00BB5044" w:rsidP="00BB5044">
            <w:pPr>
              <w:pStyle w:val="a8"/>
              <w:numPr>
                <w:ilvl w:val="0"/>
                <w:numId w:val="27"/>
              </w:numPr>
              <w:snapToGrid w:val="0"/>
              <w:spacing w:afterLines="50" w:after="180" w:line="0" w:lineRule="atLeast"/>
              <w:ind w:leftChars="0" w:hanging="321"/>
              <w:jc w:val="both"/>
              <w:rPr>
                <w:rFonts w:eastAsia="標楷體" w:cstheme="minorHAnsi"/>
                <w:szCs w:val="24"/>
              </w:rPr>
            </w:pPr>
            <w:r w:rsidRPr="00B55920">
              <w:rPr>
                <w:rFonts w:eastAsia="標楷體" w:cstheme="minorHAnsi"/>
                <w:szCs w:val="24"/>
              </w:rPr>
              <w:t>new drug substances and new drug products during their clinical development and subsequent applications for marketing</w:t>
            </w:r>
          </w:p>
          <w:p w:rsidR="00BB5044" w:rsidRPr="00B55920" w:rsidRDefault="00BB5044" w:rsidP="00BB5044">
            <w:pPr>
              <w:pStyle w:val="a8"/>
              <w:numPr>
                <w:ilvl w:val="0"/>
                <w:numId w:val="27"/>
              </w:numPr>
              <w:snapToGrid w:val="0"/>
              <w:spacing w:afterLines="50" w:after="180" w:line="0" w:lineRule="atLeast"/>
              <w:ind w:leftChars="0" w:hanging="321"/>
              <w:jc w:val="both"/>
              <w:rPr>
                <w:rFonts w:eastAsia="標楷體" w:cstheme="minorHAnsi"/>
                <w:szCs w:val="24"/>
              </w:rPr>
            </w:pPr>
            <w:r w:rsidRPr="00B55920">
              <w:rPr>
                <w:rFonts w:eastAsia="標楷體" w:cstheme="minorHAnsi" w:hint="eastAsia"/>
                <w:szCs w:val="24"/>
              </w:rPr>
              <w:t>changes to the drug substance synthesis resulting in new or increased acceptance criteria for existing impurities</w:t>
            </w:r>
          </w:p>
          <w:p w:rsidR="00BB5044" w:rsidRPr="00B55920" w:rsidRDefault="00BB5044" w:rsidP="00BB5044">
            <w:pPr>
              <w:pStyle w:val="a8"/>
              <w:numPr>
                <w:ilvl w:val="0"/>
                <w:numId w:val="27"/>
              </w:numPr>
              <w:snapToGrid w:val="0"/>
              <w:spacing w:afterLines="50" w:after="180" w:line="0" w:lineRule="atLeast"/>
              <w:ind w:leftChars="0" w:hanging="321"/>
              <w:jc w:val="both"/>
              <w:rPr>
                <w:rFonts w:eastAsia="標楷體" w:cstheme="minorHAnsi"/>
                <w:szCs w:val="24"/>
              </w:rPr>
            </w:pPr>
            <w:r w:rsidRPr="00B55920">
              <w:rPr>
                <w:rFonts w:eastAsia="標楷體" w:cstheme="minorHAnsi" w:hint="eastAsia"/>
                <w:szCs w:val="24"/>
              </w:rPr>
              <w:t>changes in the formulation, composition or manufacturing process resulting in new degradation products or increased acceptance criteria for existing degradation products</w:t>
            </w:r>
          </w:p>
          <w:p w:rsidR="00BB5044" w:rsidRPr="00B55920" w:rsidRDefault="00BB5044" w:rsidP="00BB5044">
            <w:pPr>
              <w:pStyle w:val="a8"/>
              <w:numPr>
                <w:ilvl w:val="0"/>
                <w:numId w:val="27"/>
              </w:numPr>
              <w:snapToGrid w:val="0"/>
              <w:spacing w:afterLines="50" w:after="180" w:line="0" w:lineRule="atLeast"/>
              <w:ind w:leftChars="0" w:hanging="321"/>
              <w:jc w:val="both"/>
              <w:rPr>
                <w:rFonts w:eastAsia="標楷體" w:cstheme="minorHAnsi"/>
                <w:szCs w:val="24"/>
              </w:rPr>
            </w:pPr>
            <w:r w:rsidRPr="00B55920">
              <w:rPr>
                <w:rFonts w:eastAsia="標楷體" w:cstheme="minorHAnsi" w:hint="eastAsia"/>
                <w:szCs w:val="24"/>
              </w:rPr>
              <w:t>introduction of a new source of the drug substance through a drug master file (DMF) from a supplier who has not had a previously accepted DMF in the relevant region</w:t>
            </w:r>
          </w:p>
          <w:p w:rsidR="00BB5044" w:rsidRPr="00B55920" w:rsidRDefault="00BB5044" w:rsidP="00BB5044">
            <w:pPr>
              <w:pStyle w:val="a8"/>
              <w:numPr>
                <w:ilvl w:val="0"/>
                <w:numId w:val="27"/>
              </w:numPr>
              <w:snapToGrid w:val="0"/>
              <w:spacing w:afterLines="50" w:after="180" w:line="0" w:lineRule="atLeast"/>
              <w:ind w:leftChars="0" w:hanging="321"/>
              <w:jc w:val="both"/>
              <w:rPr>
                <w:rFonts w:eastAsia="標楷體" w:cstheme="minorHAnsi"/>
                <w:szCs w:val="24"/>
              </w:rPr>
            </w:pPr>
            <w:r w:rsidRPr="00B55920">
              <w:rPr>
                <w:rFonts w:eastAsia="標楷體" w:cstheme="minorHAnsi" w:hint="eastAsia"/>
                <w:szCs w:val="24"/>
              </w:rPr>
              <w:t>changes made to a specific synthetic step as described in ICH M7 Section 4.1</w:t>
            </w:r>
          </w:p>
          <w:p w:rsidR="00BB5044" w:rsidRPr="00B55920" w:rsidRDefault="00BB5044" w:rsidP="00BB5044">
            <w:pPr>
              <w:pStyle w:val="a8"/>
              <w:numPr>
                <w:ilvl w:val="0"/>
                <w:numId w:val="27"/>
              </w:numPr>
              <w:snapToGrid w:val="0"/>
              <w:spacing w:afterLines="50" w:after="180" w:line="0" w:lineRule="atLeast"/>
              <w:ind w:leftChars="0" w:hanging="321"/>
              <w:jc w:val="both"/>
              <w:rPr>
                <w:rFonts w:eastAsia="標楷體" w:cstheme="minorHAnsi"/>
                <w:szCs w:val="24"/>
              </w:rPr>
            </w:pPr>
            <w:r w:rsidRPr="00B55920">
              <w:rPr>
                <w:rFonts w:eastAsia="標楷體" w:cstheme="minorHAnsi" w:hint="eastAsia"/>
                <w:szCs w:val="24"/>
              </w:rPr>
              <w:t>a newly discovered Class 1 or Class 2 impurity, a structure in the cohort of concern, or new relevant impurity hazard data, as described in ICH M7 Section 4.4</w:t>
            </w:r>
          </w:p>
        </w:tc>
        <w:tc>
          <w:tcPr>
            <w:tcW w:w="970" w:type="pct"/>
          </w:tcPr>
          <w:p w:rsidR="00500945" w:rsidRPr="00B55920" w:rsidRDefault="00500945" w:rsidP="00A54E91">
            <w:pPr>
              <w:snapToGrid w:val="0"/>
              <w:spacing w:beforeLines="50" w:before="180" w:afterLines="50" w:after="180" w:line="0" w:lineRule="atLeast"/>
              <w:contextualSpacing/>
              <w:rPr>
                <w:rFonts w:eastAsia="標楷體" w:cstheme="minorHAnsi"/>
                <w:szCs w:val="24"/>
              </w:rPr>
            </w:pPr>
          </w:p>
        </w:tc>
      </w:tr>
      <w:tr w:rsidR="00500945" w:rsidRPr="00B55920" w:rsidTr="00EB6C26">
        <w:tc>
          <w:tcPr>
            <w:tcW w:w="262" w:type="pct"/>
          </w:tcPr>
          <w:p w:rsidR="00500945" w:rsidRPr="00B55920" w:rsidRDefault="00E23537" w:rsidP="00FB63CF">
            <w:pPr>
              <w:snapToGrid w:val="0"/>
              <w:spacing w:beforeLines="50" w:before="180" w:afterLines="50" w:after="180" w:line="0" w:lineRule="atLeast"/>
              <w:contextualSpacing/>
              <w:jc w:val="center"/>
              <w:rPr>
                <w:rFonts w:eastAsia="標楷體" w:cstheme="minorHAnsi"/>
                <w:szCs w:val="24"/>
              </w:rPr>
            </w:pPr>
            <w:r w:rsidRPr="00B55920">
              <w:rPr>
                <w:rFonts w:eastAsia="標楷體" w:cstheme="minorHAnsi" w:hint="eastAsia"/>
                <w:szCs w:val="24"/>
              </w:rPr>
              <w:t>7.5</w:t>
            </w:r>
          </w:p>
        </w:tc>
        <w:tc>
          <w:tcPr>
            <w:tcW w:w="1089" w:type="pct"/>
          </w:tcPr>
          <w:p w:rsidR="00500945" w:rsidRPr="00B55920" w:rsidRDefault="00BB5044" w:rsidP="00A54E91">
            <w:pPr>
              <w:snapToGrid w:val="0"/>
              <w:spacing w:beforeLines="50" w:before="180" w:afterLines="50" w:after="180" w:line="0" w:lineRule="atLeast"/>
              <w:contextualSpacing/>
              <w:rPr>
                <w:rFonts w:eastAsia="標楷體" w:cstheme="minorHAnsi"/>
                <w:szCs w:val="24"/>
              </w:rPr>
            </w:pPr>
            <w:r w:rsidRPr="00B55920">
              <w:rPr>
                <w:rFonts w:eastAsia="標楷體" w:cstheme="minorHAnsi"/>
                <w:szCs w:val="24"/>
              </w:rPr>
              <w:t>Does “Table 2: Acceptable Intakes for an Individual Impurity” apply when three or more Class 2 or Class 3 impurities are specified in the drug substance specification?</w:t>
            </w:r>
          </w:p>
        </w:tc>
        <w:tc>
          <w:tcPr>
            <w:tcW w:w="2679" w:type="pct"/>
          </w:tcPr>
          <w:p w:rsidR="00BB5044" w:rsidRPr="00B55920" w:rsidRDefault="00BB5044" w:rsidP="00BB5044">
            <w:pPr>
              <w:snapToGrid w:val="0"/>
              <w:spacing w:afterLines="50" w:after="180" w:line="0" w:lineRule="atLeast"/>
              <w:jc w:val="both"/>
              <w:rPr>
                <w:rFonts w:eastAsia="標楷體" w:cstheme="minorHAnsi"/>
                <w:szCs w:val="24"/>
              </w:rPr>
            </w:pPr>
            <w:r w:rsidRPr="00B55920">
              <w:rPr>
                <w:rFonts w:eastAsia="標楷體" w:cstheme="minorHAnsi"/>
                <w:szCs w:val="24"/>
              </w:rPr>
              <w:t>Yes. In this scenario, a limit for each “Individual Impurity” should be listed in the drug substance specification as per limits provided in Table 2 (for example &gt;10 years to lifetime not more than (NMT) 1.5 μg/day). Additionally, a limit for “Total Mutagenic Impurities” should be listed in the drug substance specification as per limits provided in Table 3 (for example &gt;10 years to lifetime NMT 5 μg/day).</w:t>
            </w:r>
          </w:p>
          <w:p w:rsidR="00500945" w:rsidRPr="00B55920" w:rsidRDefault="00BB5044" w:rsidP="00BB5044">
            <w:pPr>
              <w:snapToGrid w:val="0"/>
              <w:spacing w:afterLines="50" w:after="180" w:line="0" w:lineRule="atLeast"/>
              <w:jc w:val="both"/>
              <w:rPr>
                <w:rFonts w:eastAsia="標楷體" w:cstheme="minorHAnsi"/>
                <w:szCs w:val="24"/>
              </w:rPr>
            </w:pPr>
            <w:r w:rsidRPr="00B55920">
              <w:rPr>
                <w:rFonts w:eastAsia="標楷體" w:cstheme="minorHAnsi"/>
                <w:szCs w:val="24"/>
              </w:rPr>
              <w:t>As stated in the guidance, compound-specific or class-related acceptable limits (Class 1) and degradation products which form in the drug product are excluded from total mutagenic impurity limits.</w:t>
            </w:r>
          </w:p>
        </w:tc>
        <w:tc>
          <w:tcPr>
            <w:tcW w:w="970" w:type="pct"/>
          </w:tcPr>
          <w:p w:rsidR="00500945" w:rsidRPr="00B55920" w:rsidRDefault="00500945" w:rsidP="00A54E91">
            <w:pPr>
              <w:snapToGrid w:val="0"/>
              <w:spacing w:beforeLines="50" w:before="180" w:afterLines="50" w:after="180" w:line="0" w:lineRule="atLeast"/>
              <w:contextualSpacing/>
              <w:rPr>
                <w:rFonts w:eastAsia="標楷體" w:cstheme="minorHAnsi"/>
                <w:szCs w:val="24"/>
              </w:rPr>
            </w:pPr>
          </w:p>
        </w:tc>
      </w:tr>
      <w:tr w:rsidR="00BB5044" w:rsidRPr="00B55920" w:rsidTr="00FB63CF">
        <w:tc>
          <w:tcPr>
            <w:tcW w:w="5000" w:type="pct"/>
            <w:gridSpan w:val="4"/>
            <w:vAlign w:val="center"/>
          </w:tcPr>
          <w:p w:rsidR="00BB5044" w:rsidRPr="00B55920" w:rsidRDefault="00BB5044" w:rsidP="00FB63CF">
            <w:pPr>
              <w:snapToGrid w:val="0"/>
              <w:spacing w:beforeLines="50" w:before="180" w:afterLines="50" w:after="180" w:line="0" w:lineRule="atLeast"/>
              <w:contextualSpacing/>
              <w:jc w:val="both"/>
              <w:rPr>
                <w:rFonts w:eastAsia="標楷體" w:cstheme="minorHAnsi"/>
                <w:b/>
                <w:szCs w:val="24"/>
              </w:rPr>
            </w:pPr>
            <w:r w:rsidRPr="00B55920">
              <w:rPr>
                <w:rFonts w:eastAsia="標楷體" w:cstheme="minorHAnsi" w:hint="eastAsia"/>
                <w:b/>
                <w:szCs w:val="24"/>
              </w:rPr>
              <w:t>8. Control</w:t>
            </w:r>
          </w:p>
        </w:tc>
      </w:tr>
      <w:tr w:rsidR="00500945" w:rsidRPr="00B55920" w:rsidTr="00EB6C26">
        <w:tc>
          <w:tcPr>
            <w:tcW w:w="262" w:type="pct"/>
          </w:tcPr>
          <w:p w:rsidR="00500945" w:rsidRPr="00B55920" w:rsidRDefault="00BB5044" w:rsidP="00FB63CF">
            <w:pPr>
              <w:snapToGrid w:val="0"/>
              <w:spacing w:beforeLines="50" w:before="180" w:afterLines="50" w:after="180" w:line="0" w:lineRule="atLeast"/>
              <w:contextualSpacing/>
              <w:jc w:val="center"/>
              <w:rPr>
                <w:rFonts w:eastAsia="標楷體" w:cstheme="minorHAnsi"/>
                <w:szCs w:val="24"/>
              </w:rPr>
            </w:pPr>
            <w:r w:rsidRPr="00B55920">
              <w:rPr>
                <w:rFonts w:eastAsia="標楷體" w:cstheme="minorHAnsi" w:hint="eastAsia"/>
                <w:szCs w:val="24"/>
              </w:rPr>
              <w:t>8.1</w:t>
            </w:r>
          </w:p>
        </w:tc>
        <w:tc>
          <w:tcPr>
            <w:tcW w:w="1089" w:type="pct"/>
          </w:tcPr>
          <w:p w:rsidR="00500945" w:rsidRPr="00B55920" w:rsidRDefault="00BB5044" w:rsidP="00A54E91">
            <w:pPr>
              <w:snapToGrid w:val="0"/>
              <w:spacing w:beforeLines="50" w:before="180" w:afterLines="50" w:after="180" w:line="0" w:lineRule="atLeast"/>
              <w:contextualSpacing/>
              <w:rPr>
                <w:rFonts w:eastAsia="標楷體" w:cstheme="minorHAnsi"/>
                <w:szCs w:val="24"/>
              </w:rPr>
            </w:pPr>
            <w:r w:rsidRPr="00B55920">
              <w:rPr>
                <w:rFonts w:eastAsia="標楷體" w:cstheme="minorHAnsi"/>
                <w:szCs w:val="24"/>
              </w:rPr>
              <w:t>When is it appropriate to use an Option 4 control strategy?</w:t>
            </w:r>
          </w:p>
        </w:tc>
        <w:tc>
          <w:tcPr>
            <w:tcW w:w="2679" w:type="pct"/>
          </w:tcPr>
          <w:p w:rsidR="00500945" w:rsidRPr="00B55920" w:rsidRDefault="00BB5044" w:rsidP="00676F90">
            <w:pPr>
              <w:snapToGrid w:val="0"/>
              <w:spacing w:afterLines="50" w:after="180" w:line="0" w:lineRule="atLeast"/>
              <w:jc w:val="both"/>
              <w:rPr>
                <w:rFonts w:eastAsia="標楷體" w:cstheme="minorHAnsi"/>
                <w:szCs w:val="24"/>
              </w:rPr>
            </w:pPr>
            <w:r w:rsidRPr="00B55920">
              <w:rPr>
                <w:rFonts w:eastAsia="標楷體" w:cstheme="minorHAnsi"/>
                <w:szCs w:val="24"/>
              </w:rPr>
              <w:t xml:space="preserve">Use of Option 4 is appropriate when a mutagenic impurity is demonstrated to have a negligible risk of being present in the final drug substance (e.g., 1% TTC). The risk assessment can be based on scientific principles alone (e.g., impurity reactivity or solubility), calculated purge factors, (i.e., predicted), measured purge factors (i.e., spike and purge data), or a combination of these approaches, considering the </w:t>
            </w:r>
            <w:r w:rsidRPr="00B55920">
              <w:rPr>
                <w:rFonts w:eastAsia="標楷體" w:cstheme="minorHAnsi"/>
                <w:szCs w:val="24"/>
              </w:rPr>
              <w:lastRenderedPageBreak/>
              <w:t>process-relevant conditions. The acceptability of Option 4 will be assessed by authorities on a case-by-case basis, including additional requests for supporting information. See also question 8.3 in this document for impurities introduced in the last step.</w:t>
            </w:r>
          </w:p>
        </w:tc>
        <w:tc>
          <w:tcPr>
            <w:tcW w:w="970" w:type="pct"/>
          </w:tcPr>
          <w:p w:rsidR="00500945" w:rsidRPr="00B55920" w:rsidRDefault="00500945" w:rsidP="00A54E91">
            <w:pPr>
              <w:snapToGrid w:val="0"/>
              <w:spacing w:beforeLines="50" w:before="180" w:afterLines="50" w:after="180" w:line="0" w:lineRule="atLeast"/>
              <w:contextualSpacing/>
              <w:rPr>
                <w:rFonts w:eastAsia="標楷體" w:cstheme="minorHAnsi"/>
                <w:szCs w:val="24"/>
              </w:rPr>
            </w:pPr>
          </w:p>
        </w:tc>
      </w:tr>
      <w:tr w:rsidR="00500945" w:rsidRPr="00B55920" w:rsidTr="00EB6C26">
        <w:tc>
          <w:tcPr>
            <w:tcW w:w="262" w:type="pct"/>
          </w:tcPr>
          <w:p w:rsidR="00500945" w:rsidRPr="00B55920" w:rsidRDefault="00BB5044" w:rsidP="00FB63CF">
            <w:pPr>
              <w:snapToGrid w:val="0"/>
              <w:spacing w:beforeLines="50" w:before="180" w:afterLines="50" w:after="180" w:line="0" w:lineRule="atLeast"/>
              <w:contextualSpacing/>
              <w:jc w:val="center"/>
              <w:rPr>
                <w:rFonts w:eastAsia="標楷體" w:cstheme="minorHAnsi"/>
                <w:szCs w:val="24"/>
              </w:rPr>
            </w:pPr>
            <w:r w:rsidRPr="00B55920">
              <w:rPr>
                <w:rFonts w:eastAsia="標楷體" w:cstheme="minorHAnsi" w:hint="eastAsia"/>
                <w:szCs w:val="24"/>
              </w:rPr>
              <w:t>8.2</w:t>
            </w:r>
          </w:p>
        </w:tc>
        <w:tc>
          <w:tcPr>
            <w:tcW w:w="1089" w:type="pct"/>
          </w:tcPr>
          <w:p w:rsidR="00500945" w:rsidRPr="00B55920" w:rsidRDefault="00BB5044" w:rsidP="00A54E91">
            <w:pPr>
              <w:snapToGrid w:val="0"/>
              <w:spacing w:beforeLines="50" w:before="180" w:afterLines="50" w:after="180" w:line="0" w:lineRule="atLeast"/>
              <w:contextualSpacing/>
              <w:rPr>
                <w:rFonts w:eastAsia="標楷體" w:cstheme="minorHAnsi"/>
                <w:szCs w:val="24"/>
              </w:rPr>
            </w:pPr>
            <w:r w:rsidRPr="00B55920">
              <w:rPr>
                <w:rFonts w:eastAsia="標楷體" w:cstheme="minorHAnsi"/>
                <w:szCs w:val="24"/>
              </w:rPr>
              <w:t>When predictive purge calculations are used for Option 4 control, what elements should be considered?</w:t>
            </w:r>
          </w:p>
        </w:tc>
        <w:tc>
          <w:tcPr>
            <w:tcW w:w="2679" w:type="pct"/>
          </w:tcPr>
          <w:p w:rsidR="00500945" w:rsidRPr="00B55920" w:rsidRDefault="00BB5044" w:rsidP="00676F90">
            <w:pPr>
              <w:snapToGrid w:val="0"/>
              <w:spacing w:afterLines="50" w:after="180" w:line="0" w:lineRule="atLeast"/>
              <w:jc w:val="both"/>
              <w:rPr>
                <w:rFonts w:eastAsia="標楷體" w:cstheme="minorHAnsi"/>
                <w:szCs w:val="24"/>
              </w:rPr>
            </w:pPr>
            <w:r w:rsidRPr="00B55920">
              <w:rPr>
                <w:rFonts w:eastAsia="標楷體" w:cstheme="minorHAnsi"/>
                <w:szCs w:val="24"/>
              </w:rPr>
              <w:t>When using predictive purge calculations for Option 4 control, the following elements should be considered:</w:t>
            </w:r>
          </w:p>
          <w:p w:rsidR="00BB5044" w:rsidRPr="00B55920" w:rsidRDefault="00BB5044" w:rsidP="00BB5044">
            <w:pPr>
              <w:pStyle w:val="Default"/>
              <w:numPr>
                <w:ilvl w:val="0"/>
                <w:numId w:val="28"/>
              </w:numPr>
              <w:jc w:val="both"/>
              <w:rPr>
                <w:rFonts w:asciiTheme="minorHAnsi" w:hAnsiTheme="minorHAnsi" w:cstheme="minorHAnsi"/>
              </w:rPr>
            </w:pPr>
            <w:r w:rsidRPr="00B55920">
              <w:rPr>
                <w:rFonts w:asciiTheme="minorHAnsi" w:hAnsiTheme="minorHAnsi" w:cstheme="minorHAnsi"/>
              </w:rPr>
              <w:t xml:space="preserve">Predictive purge calculations should be based on the drug substance manufacturing process as described in the application and should consider reactivity, solubility, volatility, and other factors of the impurity in each step. The predictive purge calculation should use conservative values and methodology, since predictive purge often does not rely on experimental purge factors. An example predictive purge calculation approach based on scientific principles has been described [Barber et. al., 2017]. Predictive purge calculations can be paper-based or software-based. </w:t>
            </w:r>
          </w:p>
          <w:p w:rsidR="00BB5044" w:rsidRPr="00B55920" w:rsidRDefault="00BB5044" w:rsidP="00BB5044">
            <w:pPr>
              <w:pStyle w:val="Default"/>
              <w:numPr>
                <w:ilvl w:val="0"/>
                <w:numId w:val="28"/>
              </w:numPr>
              <w:jc w:val="both"/>
              <w:rPr>
                <w:rFonts w:asciiTheme="minorHAnsi" w:hAnsiTheme="minorHAnsi" w:cstheme="minorHAnsi"/>
              </w:rPr>
            </w:pPr>
            <w:r w:rsidRPr="00B55920">
              <w:rPr>
                <w:rFonts w:asciiTheme="minorHAnsi" w:hAnsiTheme="minorHAnsi" w:cstheme="minorHAnsi"/>
              </w:rPr>
              <w:t xml:space="preserve">The amount of information (i.e., impurity reactivity or solubility data, spike and purge data under the process relevant conditions) to justify a predictive purge calculation approach should be guided by knowledge of the manufacturing process, risk to the final drug substance, and the stage of drug development. </w:t>
            </w:r>
          </w:p>
          <w:p w:rsidR="00BB5044" w:rsidRPr="00B55920" w:rsidRDefault="00BB5044" w:rsidP="00B55920">
            <w:pPr>
              <w:pStyle w:val="Default"/>
              <w:numPr>
                <w:ilvl w:val="0"/>
                <w:numId w:val="28"/>
              </w:numPr>
              <w:jc w:val="both"/>
              <w:rPr>
                <w:rFonts w:asciiTheme="minorHAnsi" w:hAnsiTheme="minorHAnsi" w:cstheme="minorHAnsi"/>
              </w:rPr>
            </w:pPr>
            <w:r w:rsidRPr="00B55920">
              <w:rPr>
                <w:rFonts w:asciiTheme="minorHAnsi" w:hAnsiTheme="minorHAnsi" w:cstheme="minorHAnsi"/>
              </w:rPr>
              <w:t xml:space="preserve">A predictive purge calculation justification submitted in an application could range from a high-level summary to detailed information on the calculation (e.g., scientific justification for individual purge factors) and other supporting data. More detailed information on the calculation is expected when the predicted level of the impurity in the drug substance approaches the TTC. Even if not submitted, information on how each individual purge factor is derived should be available upon request. </w:t>
            </w:r>
          </w:p>
        </w:tc>
        <w:tc>
          <w:tcPr>
            <w:tcW w:w="970" w:type="pct"/>
          </w:tcPr>
          <w:p w:rsidR="00500945" w:rsidRPr="00B55920" w:rsidRDefault="00500945" w:rsidP="00A54E91">
            <w:pPr>
              <w:snapToGrid w:val="0"/>
              <w:spacing w:beforeLines="50" w:before="180" w:afterLines="50" w:after="180" w:line="0" w:lineRule="atLeast"/>
              <w:contextualSpacing/>
              <w:rPr>
                <w:rFonts w:eastAsia="標楷體" w:cstheme="minorHAnsi"/>
                <w:szCs w:val="24"/>
              </w:rPr>
            </w:pPr>
          </w:p>
        </w:tc>
      </w:tr>
      <w:tr w:rsidR="00500945" w:rsidRPr="00B55920" w:rsidTr="00EB6C26">
        <w:tc>
          <w:tcPr>
            <w:tcW w:w="262" w:type="pct"/>
          </w:tcPr>
          <w:p w:rsidR="00500945" w:rsidRPr="00B55920" w:rsidRDefault="00BB5044" w:rsidP="00FB63CF">
            <w:pPr>
              <w:snapToGrid w:val="0"/>
              <w:spacing w:beforeLines="50" w:before="180" w:afterLines="50" w:after="180" w:line="0" w:lineRule="atLeast"/>
              <w:contextualSpacing/>
              <w:jc w:val="center"/>
              <w:rPr>
                <w:rFonts w:eastAsia="標楷體" w:cstheme="minorHAnsi"/>
                <w:szCs w:val="24"/>
              </w:rPr>
            </w:pPr>
            <w:r w:rsidRPr="00B55920">
              <w:rPr>
                <w:rFonts w:eastAsia="標楷體" w:cstheme="minorHAnsi" w:hint="eastAsia"/>
                <w:szCs w:val="24"/>
              </w:rPr>
              <w:t>8.3</w:t>
            </w:r>
          </w:p>
        </w:tc>
        <w:tc>
          <w:tcPr>
            <w:tcW w:w="1089" w:type="pct"/>
          </w:tcPr>
          <w:p w:rsidR="00500945" w:rsidRPr="00B55920" w:rsidRDefault="00BB5044" w:rsidP="00A54E91">
            <w:pPr>
              <w:snapToGrid w:val="0"/>
              <w:spacing w:beforeLines="50" w:before="180" w:afterLines="50" w:after="180" w:line="0" w:lineRule="atLeast"/>
              <w:contextualSpacing/>
              <w:rPr>
                <w:rFonts w:eastAsia="標楷體" w:cstheme="minorHAnsi"/>
                <w:szCs w:val="24"/>
              </w:rPr>
            </w:pPr>
            <w:r w:rsidRPr="00B55920">
              <w:rPr>
                <w:rFonts w:eastAsia="標楷體" w:cstheme="minorHAnsi"/>
                <w:szCs w:val="24"/>
              </w:rPr>
              <w:t xml:space="preserve">What is meant by “for impurities introduced in the last synthetic step, an Option 1 approach </w:t>
            </w:r>
            <w:r w:rsidRPr="00B55920">
              <w:rPr>
                <w:rFonts w:eastAsia="標楷體" w:cstheme="minorHAnsi"/>
                <w:szCs w:val="24"/>
              </w:rPr>
              <w:lastRenderedPageBreak/>
              <w:t>would be expected unless otherwise justified” in section 8.2 Considerations for Control Approaches?</w:t>
            </w:r>
          </w:p>
        </w:tc>
        <w:tc>
          <w:tcPr>
            <w:tcW w:w="2679" w:type="pct"/>
          </w:tcPr>
          <w:p w:rsidR="00500945" w:rsidRPr="00B55920" w:rsidRDefault="00BB5044" w:rsidP="00676F90">
            <w:pPr>
              <w:snapToGrid w:val="0"/>
              <w:spacing w:afterLines="50" w:after="180" w:line="0" w:lineRule="atLeast"/>
              <w:jc w:val="both"/>
              <w:rPr>
                <w:rFonts w:eastAsia="標楷體" w:cstheme="minorHAnsi"/>
                <w:szCs w:val="24"/>
              </w:rPr>
            </w:pPr>
            <w:r w:rsidRPr="00B55920">
              <w:rPr>
                <w:rFonts w:eastAsia="標楷體" w:cstheme="minorHAnsi"/>
                <w:szCs w:val="24"/>
              </w:rPr>
              <w:lastRenderedPageBreak/>
              <w:t xml:space="preserve">For potential mutagenic impurities introduced or generated in the last synthetic step, given the proximity to the final product, Option 1 is the preferred control strategy. However, Option 2 and 3 control strategies may be possible, for example, </w:t>
            </w:r>
            <w:r w:rsidRPr="00B55920">
              <w:rPr>
                <w:rFonts w:eastAsia="標楷體" w:cstheme="minorHAnsi"/>
                <w:szCs w:val="24"/>
              </w:rPr>
              <w:lastRenderedPageBreak/>
              <w:t>when the crude drug substance is an isolated material which is purified subsequently (e.g., by recrystallization). An Option 4 control strategy for an impurity introduced or generated in the last synthetic step is discouraged and should be reserved for highly reactive species (e.g., thionyl chloride) or materials with low boiling point (e.g., methyl chloride). In case of highly effective purification operations (e.g., chromatography), an Option 4 control approach may also be acceptable for less reactive materials. However, in such cases, the negligible risk of an impurity to be carried to the final product (e.g., 1% TTC) should be justified with experimental data (e.g., spike and purge data under the process-relevant conditions). A justification solely based on calculations (predictions) is not considered sufficient.</w:t>
            </w:r>
          </w:p>
        </w:tc>
        <w:tc>
          <w:tcPr>
            <w:tcW w:w="970" w:type="pct"/>
          </w:tcPr>
          <w:p w:rsidR="00500945" w:rsidRPr="00B55920" w:rsidRDefault="00500945" w:rsidP="00A54E91">
            <w:pPr>
              <w:snapToGrid w:val="0"/>
              <w:spacing w:beforeLines="50" w:before="180" w:afterLines="50" w:after="180" w:line="0" w:lineRule="atLeast"/>
              <w:contextualSpacing/>
              <w:rPr>
                <w:rFonts w:eastAsia="標楷體" w:cstheme="minorHAnsi"/>
                <w:szCs w:val="24"/>
              </w:rPr>
            </w:pPr>
          </w:p>
        </w:tc>
      </w:tr>
      <w:tr w:rsidR="00500945" w:rsidRPr="00B55920" w:rsidTr="00EB6C26">
        <w:tc>
          <w:tcPr>
            <w:tcW w:w="262" w:type="pct"/>
          </w:tcPr>
          <w:p w:rsidR="00500945" w:rsidRPr="00B55920" w:rsidRDefault="00BB5044" w:rsidP="00FB63CF">
            <w:pPr>
              <w:snapToGrid w:val="0"/>
              <w:spacing w:beforeLines="50" w:before="180" w:afterLines="50" w:after="180" w:line="0" w:lineRule="atLeast"/>
              <w:contextualSpacing/>
              <w:jc w:val="center"/>
              <w:rPr>
                <w:rFonts w:eastAsia="標楷體" w:cstheme="minorHAnsi"/>
                <w:szCs w:val="24"/>
              </w:rPr>
            </w:pPr>
            <w:r w:rsidRPr="00B55920">
              <w:rPr>
                <w:rFonts w:eastAsia="標楷體" w:cstheme="minorHAnsi" w:hint="eastAsia"/>
                <w:szCs w:val="24"/>
              </w:rPr>
              <w:t>8.4</w:t>
            </w:r>
          </w:p>
        </w:tc>
        <w:tc>
          <w:tcPr>
            <w:tcW w:w="1089" w:type="pct"/>
          </w:tcPr>
          <w:p w:rsidR="00500945" w:rsidRPr="00B55920" w:rsidRDefault="00BB5044" w:rsidP="00A54E91">
            <w:pPr>
              <w:snapToGrid w:val="0"/>
              <w:spacing w:beforeLines="50" w:before="180" w:afterLines="50" w:after="180" w:line="0" w:lineRule="atLeast"/>
              <w:contextualSpacing/>
              <w:rPr>
                <w:rFonts w:eastAsia="標楷體" w:cstheme="minorHAnsi"/>
                <w:szCs w:val="24"/>
              </w:rPr>
            </w:pPr>
            <w:r w:rsidRPr="00B55920">
              <w:rPr>
                <w:rFonts w:eastAsia="標楷體" w:cstheme="minorHAnsi"/>
                <w:szCs w:val="24"/>
              </w:rPr>
              <w:t>Is periodic verification testing (i.e., skip testing) allowed for Option 2 and 3 control?</w:t>
            </w:r>
          </w:p>
        </w:tc>
        <w:tc>
          <w:tcPr>
            <w:tcW w:w="2679" w:type="pct"/>
          </w:tcPr>
          <w:p w:rsidR="00BB5044" w:rsidRPr="00B55920" w:rsidRDefault="00BB5044" w:rsidP="00BB5044">
            <w:pPr>
              <w:snapToGrid w:val="0"/>
              <w:spacing w:afterLines="50" w:after="180" w:line="0" w:lineRule="atLeast"/>
              <w:jc w:val="both"/>
              <w:rPr>
                <w:rFonts w:eastAsia="標楷體" w:cstheme="minorHAnsi"/>
                <w:szCs w:val="24"/>
              </w:rPr>
            </w:pPr>
            <w:r w:rsidRPr="00B55920">
              <w:rPr>
                <w:rFonts w:eastAsia="標楷體" w:cstheme="minorHAnsi"/>
                <w:szCs w:val="24"/>
              </w:rPr>
              <w:t>No. Periodic verification testing is not appropriate for Option 2 and 3 control. Periodic verification testing is only discussed as a control strategy for Option 1 control in section 8.1 of ICH M7.</w:t>
            </w:r>
          </w:p>
          <w:p w:rsidR="00500945" w:rsidRPr="00B55920" w:rsidRDefault="00BB5044" w:rsidP="00BB5044">
            <w:pPr>
              <w:snapToGrid w:val="0"/>
              <w:spacing w:afterLines="50" w:after="180" w:line="0" w:lineRule="atLeast"/>
              <w:jc w:val="both"/>
              <w:rPr>
                <w:rFonts w:eastAsia="標楷體" w:cstheme="minorHAnsi"/>
                <w:szCs w:val="24"/>
              </w:rPr>
            </w:pPr>
            <w:r w:rsidRPr="00B55920">
              <w:rPr>
                <w:rFonts w:eastAsia="標楷體" w:cstheme="minorHAnsi"/>
                <w:szCs w:val="24"/>
              </w:rPr>
              <w:t>The Option 1 periodic verification testing strategy references ICH Q6A. The Option 1 periodic verification testing concept (per ICH Q6A) should generally be implemented post-approval and applies to testing in the final drug substance.</w:t>
            </w:r>
          </w:p>
        </w:tc>
        <w:tc>
          <w:tcPr>
            <w:tcW w:w="970" w:type="pct"/>
          </w:tcPr>
          <w:p w:rsidR="00500945" w:rsidRPr="00B55920" w:rsidRDefault="00500945" w:rsidP="00A54E91">
            <w:pPr>
              <w:snapToGrid w:val="0"/>
              <w:spacing w:beforeLines="50" w:before="180" w:afterLines="50" w:after="180" w:line="0" w:lineRule="atLeast"/>
              <w:contextualSpacing/>
              <w:rPr>
                <w:rFonts w:eastAsia="標楷體" w:cstheme="minorHAnsi"/>
                <w:szCs w:val="24"/>
              </w:rPr>
            </w:pPr>
          </w:p>
        </w:tc>
      </w:tr>
      <w:tr w:rsidR="00BB5044" w:rsidRPr="00B55920" w:rsidTr="00EB6C26">
        <w:tc>
          <w:tcPr>
            <w:tcW w:w="262" w:type="pct"/>
          </w:tcPr>
          <w:p w:rsidR="00BB5044" w:rsidRPr="00B55920" w:rsidRDefault="00BB5044" w:rsidP="00FB63CF">
            <w:pPr>
              <w:snapToGrid w:val="0"/>
              <w:spacing w:beforeLines="50" w:before="180" w:afterLines="50" w:after="180" w:line="0" w:lineRule="atLeast"/>
              <w:contextualSpacing/>
              <w:jc w:val="center"/>
              <w:rPr>
                <w:rFonts w:eastAsia="標楷體" w:cstheme="minorHAnsi"/>
                <w:szCs w:val="24"/>
              </w:rPr>
            </w:pPr>
            <w:r w:rsidRPr="00B55920">
              <w:rPr>
                <w:rFonts w:eastAsia="標楷體" w:cstheme="minorHAnsi" w:hint="eastAsia"/>
                <w:szCs w:val="24"/>
              </w:rPr>
              <w:t>8.5</w:t>
            </w:r>
          </w:p>
        </w:tc>
        <w:tc>
          <w:tcPr>
            <w:tcW w:w="1089" w:type="pct"/>
          </w:tcPr>
          <w:p w:rsidR="00BB5044" w:rsidRPr="00B55920" w:rsidRDefault="00BB5044" w:rsidP="00A54E91">
            <w:pPr>
              <w:snapToGrid w:val="0"/>
              <w:spacing w:beforeLines="50" w:before="180" w:afterLines="50" w:after="180" w:line="0" w:lineRule="atLeast"/>
              <w:contextualSpacing/>
              <w:rPr>
                <w:rFonts w:eastAsia="標楷體" w:cstheme="minorHAnsi"/>
                <w:szCs w:val="24"/>
              </w:rPr>
            </w:pPr>
            <w:r w:rsidRPr="00B55920">
              <w:rPr>
                <w:rFonts w:eastAsia="標楷體" w:cstheme="minorHAnsi"/>
                <w:szCs w:val="24"/>
              </w:rPr>
              <w:t>If test data (i.e., in-process, intermediate, or drug substance impurity test data) for a potential mutagenic impurity is consistently &lt;30% TTC in multiple batches, is that sufficient to justify no testing of that impurity in the control strategy?</w:t>
            </w:r>
          </w:p>
        </w:tc>
        <w:tc>
          <w:tcPr>
            <w:tcW w:w="2679" w:type="pct"/>
          </w:tcPr>
          <w:p w:rsidR="00BB5044" w:rsidRPr="00B55920" w:rsidRDefault="00BB5044" w:rsidP="00BB5044">
            <w:pPr>
              <w:snapToGrid w:val="0"/>
              <w:spacing w:afterLines="50" w:after="180" w:line="0" w:lineRule="atLeast"/>
              <w:jc w:val="both"/>
              <w:rPr>
                <w:rFonts w:eastAsia="標楷體" w:cstheme="minorHAnsi"/>
                <w:szCs w:val="24"/>
              </w:rPr>
            </w:pPr>
            <w:r w:rsidRPr="00B55920">
              <w:rPr>
                <w:rFonts w:eastAsia="標楷體" w:cstheme="minorHAnsi"/>
                <w:szCs w:val="24"/>
              </w:rPr>
              <w:t>No. Batch data alone demonstrating that a potential mutagenic impurity is consistently &lt;30% TTC is not sufficient to justify no testing of that impurity. Options 1, 2, and 3 should test either at release or upstream in the process.</w:t>
            </w:r>
          </w:p>
          <w:p w:rsidR="00BB5044" w:rsidRPr="00B55920" w:rsidRDefault="00BB5044" w:rsidP="00BB5044">
            <w:pPr>
              <w:snapToGrid w:val="0"/>
              <w:spacing w:afterLines="50" w:after="180" w:line="0" w:lineRule="atLeast"/>
              <w:jc w:val="both"/>
              <w:rPr>
                <w:rFonts w:eastAsia="標楷體" w:cstheme="minorHAnsi"/>
                <w:szCs w:val="24"/>
              </w:rPr>
            </w:pPr>
            <w:r w:rsidRPr="00B55920">
              <w:rPr>
                <w:rFonts w:eastAsia="標楷體" w:cstheme="minorHAnsi"/>
                <w:szCs w:val="24"/>
              </w:rPr>
              <w:t>However, if there is negligible risk of the impurity to be present in the drug substance, an Option 4 control strategy may be considered with appropriate justification. See question 8.1 and 8.2 for recommendations on supporting an Option 4 control strategy.</w:t>
            </w:r>
          </w:p>
        </w:tc>
        <w:tc>
          <w:tcPr>
            <w:tcW w:w="970" w:type="pct"/>
          </w:tcPr>
          <w:p w:rsidR="00BB5044" w:rsidRPr="00B55920" w:rsidRDefault="00BB5044" w:rsidP="00A54E91">
            <w:pPr>
              <w:snapToGrid w:val="0"/>
              <w:spacing w:beforeLines="50" w:before="180" w:afterLines="50" w:after="180" w:line="0" w:lineRule="atLeast"/>
              <w:contextualSpacing/>
              <w:rPr>
                <w:rFonts w:eastAsia="標楷體" w:cstheme="minorHAnsi"/>
                <w:szCs w:val="24"/>
              </w:rPr>
            </w:pPr>
          </w:p>
        </w:tc>
      </w:tr>
      <w:tr w:rsidR="00BB5044" w:rsidRPr="00B55920" w:rsidTr="00EB6C26">
        <w:tc>
          <w:tcPr>
            <w:tcW w:w="262" w:type="pct"/>
          </w:tcPr>
          <w:p w:rsidR="00BB5044" w:rsidRPr="00B55920" w:rsidRDefault="00BB5044" w:rsidP="00FB63CF">
            <w:pPr>
              <w:snapToGrid w:val="0"/>
              <w:spacing w:beforeLines="50" w:before="180" w:afterLines="50" w:after="180" w:line="0" w:lineRule="atLeast"/>
              <w:contextualSpacing/>
              <w:jc w:val="center"/>
              <w:rPr>
                <w:rFonts w:eastAsia="標楷體" w:cstheme="minorHAnsi"/>
                <w:szCs w:val="24"/>
              </w:rPr>
            </w:pPr>
            <w:r w:rsidRPr="00B55920">
              <w:rPr>
                <w:rFonts w:eastAsia="標楷體" w:cstheme="minorHAnsi" w:hint="eastAsia"/>
                <w:szCs w:val="24"/>
              </w:rPr>
              <w:t>8.6</w:t>
            </w:r>
          </w:p>
        </w:tc>
        <w:tc>
          <w:tcPr>
            <w:tcW w:w="1089" w:type="pct"/>
          </w:tcPr>
          <w:p w:rsidR="00BB5044" w:rsidRPr="00B55920" w:rsidRDefault="00BB5044" w:rsidP="00A54E91">
            <w:pPr>
              <w:snapToGrid w:val="0"/>
              <w:spacing w:beforeLines="50" w:before="180" w:afterLines="50" w:after="180" w:line="0" w:lineRule="atLeast"/>
              <w:contextualSpacing/>
              <w:rPr>
                <w:rFonts w:eastAsia="標楷體" w:cstheme="minorHAnsi"/>
                <w:szCs w:val="24"/>
              </w:rPr>
            </w:pPr>
            <w:r w:rsidRPr="00B55920">
              <w:rPr>
                <w:rFonts w:eastAsia="標楷體" w:cstheme="minorHAnsi"/>
                <w:szCs w:val="24"/>
              </w:rPr>
              <w:t>What scale considerations are relevant when generating analytical experimental data in support of control Options 3 and 4.</w:t>
            </w:r>
          </w:p>
        </w:tc>
        <w:tc>
          <w:tcPr>
            <w:tcW w:w="2679" w:type="pct"/>
          </w:tcPr>
          <w:p w:rsidR="00BB5044" w:rsidRPr="00B55920" w:rsidRDefault="00BB5044" w:rsidP="00676F90">
            <w:pPr>
              <w:snapToGrid w:val="0"/>
              <w:spacing w:afterLines="50" w:after="180" w:line="0" w:lineRule="atLeast"/>
              <w:jc w:val="both"/>
              <w:rPr>
                <w:rFonts w:eastAsia="標楷體" w:cstheme="minorHAnsi"/>
                <w:szCs w:val="24"/>
              </w:rPr>
            </w:pPr>
            <w:r w:rsidRPr="00B55920">
              <w:rPr>
                <w:rFonts w:eastAsia="標楷體" w:cstheme="minorHAnsi"/>
                <w:szCs w:val="24"/>
              </w:rPr>
              <w:t xml:space="preserve">Lab scale experiments are typically sufficient when generating measured purge factors or when defining in-process control points. These studies should employ the final process as described in the application and should consider the potential impact of scale and equipment related differences between the laboratory and production environment (e.g. the effects of mixing on impurity levels in heterogeneous systems, the quality of liquid-liquid phase separations, etc). In the case of observed scale dependencies, confirmatory testing on batches </w:t>
            </w:r>
            <w:r w:rsidRPr="00B55920">
              <w:rPr>
                <w:rFonts w:eastAsia="標楷體" w:cstheme="minorHAnsi"/>
                <w:szCs w:val="24"/>
              </w:rPr>
              <w:lastRenderedPageBreak/>
              <w:t>manufactured at pilot or commercial scale may be advisable. There is no expectation to perform spiking studies at pilot or commercial scale.</w:t>
            </w:r>
          </w:p>
        </w:tc>
        <w:tc>
          <w:tcPr>
            <w:tcW w:w="970" w:type="pct"/>
          </w:tcPr>
          <w:p w:rsidR="00BB5044" w:rsidRPr="00B55920" w:rsidRDefault="00BB5044" w:rsidP="00A54E91">
            <w:pPr>
              <w:snapToGrid w:val="0"/>
              <w:spacing w:beforeLines="50" w:before="180" w:afterLines="50" w:after="180" w:line="0" w:lineRule="atLeast"/>
              <w:contextualSpacing/>
              <w:rPr>
                <w:rFonts w:eastAsia="標楷體" w:cstheme="minorHAnsi"/>
                <w:szCs w:val="24"/>
              </w:rPr>
            </w:pPr>
          </w:p>
        </w:tc>
      </w:tr>
      <w:tr w:rsidR="00BB5044" w:rsidRPr="00B55920" w:rsidTr="00FB63CF">
        <w:tc>
          <w:tcPr>
            <w:tcW w:w="5000" w:type="pct"/>
            <w:gridSpan w:val="4"/>
            <w:vAlign w:val="center"/>
          </w:tcPr>
          <w:p w:rsidR="00BB5044" w:rsidRPr="00B55920" w:rsidRDefault="00BB5044" w:rsidP="00FB63CF">
            <w:pPr>
              <w:snapToGrid w:val="0"/>
              <w:spacing w:beforeLines="50" w:before="180" w:afterLines="50" w:after="180" w:line="0" w:lineRule="atLeast"/>
              <w:contextualSpacing/>
              <w:jc w:val="both"/>
              <w:rPr>
                <w:rFonts w:eastAsia="標楷體" w:cstheme="minorHAnsi"/>
                <w:b/>
                <w:szCs w:val="24"/>
              </w:rPr>
            </w:pPr>
            <w:r w:rsidRPr="00B55920">
              <w:rPr>
                <w:rFonts w:eastAsia="標楷體" w:cstheme="minorHAnsi" w:hint="eastAsia"/>
                <w:b/>
                <w:szCs w:val="24"/>
              </w:rPr>
              <w:t>9</w:t>
            </w:r>
            <w:r w:rsidRPr="00B55920">
              <w:rPr>
                <w:rFonts w:eastAsia="標楷體" w:cstheme="minorHAnsi"/>
                <w:b/>
                <w:szCs w:val="24"/>
              </w:rPr>
              <w:t>. Documentation</w:t>
            </w:r>
          </w:p>
        </w:tc>
      </w:tr>
      <w:tr w:rsidR="00BB5044" w:rsidRPr="00B55920" w:rsidTr="00EB6C26">
        <w:tc>
          <w:tcPr>
            <w:tcW w:w="262" w:type="pct"/>
          </w:tcPr>
          <w:p w:rsidR="00BB5044" w:rsidRPr="00B55920" w:rsidRDefault="00BB5044" w:rsidP="00FB63CF">
            <w:pPr>
              <w:snapToGrid w:val="0"/>
              <w:spacing w:beforeLines="50" w:before="180" w:afterLines="50" w:after="180" w:line="0" w:lineRule="atLeast"/>
              <w:contextualSpacing/>
              <w:jc w:val="center"/>
              <w:rPr>
                <w:rFonts w:eastAsia="標楷體" w:cstheme="minorHAnsi"/>
                <w:szCs w:val="24"/>
              </w:rPr>
            </w:pPr>
            <w:r w:rsidRPr="00B55920">
              <w:rPr>
                <w:rFonts w:eastAsia="標楷體" w:cstheme="minorHAnsi" w:hint="eastAsia"/>
                <w:szCs w:val="24"/>
              </w:rPr>
              <w:t>9.1</w:t>
            </w:r>
          </w:p>
        </w:tc>
        <w:tc>
          <w:tcPr>
            <w:tcW w:w="1089" w:type="pct"/>
          </w:tcPr>
          <w:p w:rsidR="00BB5044" w:rsidRPr="00B55920" w:rsidRDefault="00BB5044" w:rsidP="00A54E91">
            <w:pPr>
              <w:snapToGrid w:val="0"/>
              <w:spacing w:beforeLines="50" w:before="180" w:afterLines="50" w:after="180" w:line="0" w:lineRule="atLeast"/>
              <w:contextualSpacing/>
              <w:rPr>
                <w:rFonts w:eastAsia="標楷體" w:cstheme="minorHAnsi"/>
                <w:szCs w:val="24"/>
              </w:rPr>
            </w:pPr>
            <w:r w:rsidRPr="00B55920">
              <w:rPr>
                <w:rFonts w:eastAsia="標楷體" w:cstheme="minorHAnsi"/>
                <w:szCs w:val="24"/>
              </w:rPr>
              <w:t>If (Q)SAR predictions are made during drug development, should they be repeated for the marketing application?</w:t>
            </w:r>
          </w:p>
        </w:tc>
        <w:tc>
          <w:tcPr>
            <w:tcW w:w="2679" w:type="pct"/>
          </w:tcPr>
          <w:p w:rsidR="00BB5044" w:rsidRPr="00B55920" w:rsidRDefault="00BB5044" w:rsidP="00BB5044">
            <w:pPr>
              <w:snapToGrid w:val="0"/>
              <w:spacing w:afterLines="50" w:after="180" w:line="0" w:lineRule="atLeast"/>
              <w:jc w:val="both"/>
              <w:rPr>
                <w:rFonts w:eastAsia="標楷體" w:cstheme="minorHAnsi"/>
                <w:szCs w:val="24"/>
              </w:rPr>
            </w:pPr>
            <w:r w:rsidRPr="00B55920">
              <w:rPr>
                <w:rFonts w:eastAsia="標楷體" w:cstheme="minorHAnsi"/>
                <w:szCs w:val="24"/>
              </w:rPr>
              <w:t>(Q)SAR models developed for use under ICH M7 are generally updated regularly with new bacterial reverse mutagenicity assay data and more refined structural alerts. A Sponsor is not expected to update their (Q)SAR-assessment during drug development unless there is a safety concern such as when newly available bacterial reverse mutagenicity assay data and/or mechanistic knowledge suggest that the prediction is incorrect (see below). It is recommended that the sponsor re-run (Q)SAR predictions prior to the initial marketing application to ensure predictions reflect the most current data available. If the marketing application is later submitted in other regulatory jurisdictions, reassessment may be considered. As an example, in cases where there is reason to question the outcome of a negative prediction (e.g., an aromatic amine is present, but the model gave a negative prediction). Reassessment may also be considered if the predictions made for the initial global marketing application did not use a recent version of the software.</w:t>
            </w:r>
          </w:p>
          <w:p w:rsidR="00BB5044" w:rsidRPr="00B55920" w:rsidRDefault="00BB5044" w:rsidP="00BB5044">
            <w:pPr>
              <w:snapToGrid w:val="0"/>
              <w:spacing w:afterLines="50" w:after="180" w:line="0" w:lineRule="atLeast"/>
              <w:jc w:val="both"/>
              <w:rPr>
                <w:rFonts w:eastAsia="標楷體" w:cstheme="minorHAnsi"/>
                <w:szCs w:val="24"/>
              </w:rPr>
            </w:pPr>
            <w:r w:rsidRPr="00B55920">
              <w:rPr>
                <w:rFonts w:eastAsia="標楷體" w:cstheme="minorHAnsi"/>
                <w:szCs w:val="24"/>
              </w:rPr>
              <w:t>In general, predictions generated with models developed prior to ICH M7’s publication in 2014 are considered unacceptable.</w:t>
            </w:r>
          </w:p>
        </w:tc>
        <w:tc>
          <w:tcPr>
            <w:tcW w:w="970" w:type="pct"/>
          </w:tcPr>
          <w:p w:rsidR="00BB5044" w:rsidRPr="00B55920" w:rsidRDefault="00BB5044" w:rsidP="00A54E91">
            <w:pPr>
              <w:snapToGrid w:val="0"/>
              <w:spacing w:beforeLines="50" w:before="180" w:afterLines="50" w:after="180" w:line="0" w:lineRule="atLeast"/>
              <w:contextualSpacing/>
              <w:rPr>
                <w:rFonts w:eastAsia="標楷體" w:cstheme="minorHAnsi"/>
                <w:szCs w:val="24"/>
              </w:rPr>
            </w:pPr>
          </w:p>
        </w:tc>
      </w:tr>
      <w:tr w:rsidR="00BB5044" w:rsidRPr="00B55920" w:rsidTr="00EB6C26">
        <w:tc>
          <w:tcPr>
            <w:tcW w:w="262" w:type="pct"/>
          </w:tcPr>
          <w:p w:rsidR="00BB5044" w:rsidRPr="00B55920" w:rsidRDefault="00BB5044" w:rsidP="00FB63CF">
            <w:pPr>
              <w:snapToGrid w:val="0"/>
              <w:spacing w:beforeLines="50" w:before="180" w:afterLines="50" w:after="180" w:line="0" w:lineRule="atLeast"/>
              <w:contextualSpacing/>
              <w:jc w:val="center"/>
              <w:rPr>
                <w:rFonts w:eastAsia="標楷體" w:cstheme="minorHAnsi"/>
                <w:szCs w:val="24"/>
              </w:rPr>
            </w:pPr>
            <w:r w:rsidRPr="00B55920">
              <w:rPr>
                <w:rFonts w:eastAsia="標楷體" w:cstheme="minorHAnsi" w:hint="eastAsia"/>
                <w:szCs w:val="24"/>
              </w:rPr>
              <w:t>9.2</w:t>
            </w:r>
          </w:p>
        </w:tc>
        <w:tc>
          <w:tcPr>
            <w:tcW w:w="1089" w:type="pct"/>
          </w:tcPr>
          <w:p w:rsidR="00BB5044" w:rsidRPr="00B55920" w:rsidRDefault="00BB5044" w:rsidP="00A54E91">
            <w:pPr>
              <w:snapToGrid w:val="0"/>
              <w:spacing w:beforeLines="50" w:before="180" w:afterLines="50" w:after="180" w:line="0" w:lineRule="atLeast"/>
              <w:contextualSpacing/>
              <w:rPr>
                <w:rFonts w:eastAsia="標楷體" w:cstheme="minorHAnsi"/>
                <w:szCs w:val="24"/>
              </w:rPr>
            </w:pPr>
            <w:r w:rsidRPr="00B55920">
              <w:rPr>
                <w:rFonts w:eastAsia="標楷體" w:cstheme="minorHAnsi"/>
                <w:szCs w:val="24"/>
              </w:rPr>
              <w:t>For marketing applications, what content and Common Technical Document (CTD) placement recommendations could improve the clarity of an ICH M7 risk assessment and control strategy?</w:t>
            </w:r>
          </w:p>
        </w:tc>
        <w:tc>
          <w:tcPr>
            <w:tcW w:w="2679" w:type="pct"/>
          </w:tcPr>
          <w:p w:rsidR="00BB5044" w:rsidRPr="00B55920" w:rsidRDefault="00BB5044" w:rsidP="00BB5044">
            <w:pPr>
              <w:snapToGrid w:val="0"/>
              <w:spacing w:afterLines="50" w:after="180" w:line="0" w:lineRule="atLeast"/>
              <w:jc w:val="both"/>
              <w:rPr>
                <w:rFonts w:eastAsia="標楷體" w:cstheme="minorHAnsi"/>
                <w:szCs w:val="24"/>
              </w:rPr>
            </w:pPr>
            <w:r w:rsidRPr="00B55920">
              <w:rPr>
                <w:rFonts w:eastAsia="標楷體" w:cstheme="minorHAnsi"/>
                <w:szCs w:val="24"/>
              </w:rPr>
              <w:t>In Module 2, a brief summary of the ICH M7 risk assessment and control strategy should be included (sections 2.3 and 2.6).</w:t>
            </w:r>
          </w:p>
          <w:p w:rsidR="00BB5044" w:rsidRPr="00B55920" w:rsidRDefault="00BB5044" w:rsidP="00BB5044">
            <w:pPr>
              <w:snapToGrid w:val="0"/>
              <w:spacing w:afterLines="50" w:after="180" w:line="0" w:lineRule="atLeast"/>
              <w:jc w:val="both"/>
              <w:rPr>
                <w:rFonts w:eastAsia="標楷體" w:cstheme="minorHAnsi"/>
                <w:szCs w:val="24"/>
              </w:rPr>
            </w:pPr>
            <w:r w:rsidRPr="00B55920">
              <w:rPr>
                <w:rFonts w:eastAsia="標楷體" w:cstheme="minorHAnsi"/>
                <w:szCs w:val="24"/>
              </w:rPr>
              <w:t>In Module 3, the ICH M7 risk assessment and control strategy should be provided in detail. This type of information is often placed in section 3.2.S.3.2 Impurities; however, it is sometimes placed in other CTD locations per ICH M4Q guidance. A table summary of the ICH M7 hazard assessment and ICH M7 impurity control strategy is recommended to improve clarity.</w:t>
            </w:r>
          </w:p>
          <w:p w:rsidR="00BB5044" w:rsidRPr="00B55920" w:rsidRDefault="00BB5044" w:rsidP="00BB5044">
            <w:pPr>
              <w:pStyle w:val="a8"/>
              <w:numPr>
                <w:ilvl w:val="0"/>
                <w:numId w:val="29"/>
              </w:numPr>
              <w:snapToGrid w:val="0"/>
              <w:spacing w:afterLines="50" w:after="180" w:line="0" w:lineRule="atLeast"/>
              <w:ind w:leftChars="0"/>
              <w:jc w:val="both"/>
              <w:rPr>
                <w:rFonts w:eastAsia="標楷體" w:cstheme="minorHAnsi"/>
                <w:szCs w:val="24"/>
              </w:rPr>
            </w:pPr>
            <w:r w:rsidRPr="00B55920">
              <w:rPr>
                <w:rFonts w:eastAsia="標楷體" w:cstheme="minorHAnsi"/>
                <w:szCs w:val="24"/>
              </w:rPr>
              <w:t xml:space="preserve">Information recommended for an ICH M7 hazard assessment table includes impurity chemical structure, (Q)SAR results (pos/neg predictions, out-of-domain), bacterial reverse mutagenicity assay results (pos/neg, if available), ICH M7 impurity class (1-5) assignment, and supporting information (e.g., information/links for bacterial reverse mutagenicity assays, literature reports, (Q)SAR expert analysis, etc.). The in silico systems used (name, </w:t>
            </w:r>
            <w:r w:rsidRPr="00B55920">
              <w:rPr>
                <w:rFonts w:eastAsia="標楷體" w:cstheme="minorHAnsi"/>
                <w:szCs w:val="24"/>
              </w:rPr>
              <w:lastRenderedPageBreak/>
              <w:t>version, endpoint) can also be noted.</w:t>
            </w:r>
          </w:p>
          <w:p w:rsidR="00BB5044" w:rsidRPr="00B55920" w:rsidRDefault="00BB5044" w:rsidP="00BB5044">
            <w:pPr>
              <w:pStyle w:val="a8"/>
              <w:numPr>
                <w:ilvl w:val="0"/>
                <w:numId w:val="29"/>
              </w:numPr>
              <w:snapToGrid w:val="0"/>
              <w:spacing w:afterLines="50" w:after="180" w:line="0" w:lineRule="atLeast"/>
              <w:ind w:leftChars="0"/>
              <w:jc w:val="both"/>
              <w:rPr>
                <w:rFonts w:eastAsia="標楷體" w:cstheme="minorHAnsi"/>
                <w:szCs w:val="24"/>
              </w:rPr>
            </w:pPr>
            <w:r w:rsidRPr="00B55920">
              <w:rPr>
                <w:rFonts w:eastAsia="標楷體" w:cstheme="minorHAnsi" w:hint="eastAsia"/>
                <w:szCs w:val="24"/>
              </w:rPr>
              <w:t>Information recommended for an ICH M7 impurity control strategy table includes impurity origin (e.g., synthetic step introduced, degradant, etc.), ICH M7 class, purge factors (e.g., measured or predicted), ICH M7 control Option (1-4), control strategy (i</w:t>
            </w:r>
            <w:r w:rsidRPr="00B55920">
              <w:rPr>
                <w:rFonts w:eastAsia="標楷體" w:cstheme="minorHAnsi"/>
                <w:szCs w:val="24"/>
              </w:rPr>
              <w:t>.e., including in-process or compound testing rationale), and supporting information (e.g., information/links for justifications, calculations). The maximum daily dose, TTC, and proposed duration of treatment can also be noted.</w:t>
            </w:r>
          </w:p>
          <w:p w:rsidR="00BB5044" w:rsidRPr="00B55920" w:rsidRDefault="00BB5044" w:rsidP="00BB5044">
            <w:pPr>
              <w:pStyle w:val="a8"/>
              <w:numPr>
                <w:ilvl w:val="0"/>
                <w:numId w:val="29"/>
              </w:numPr>
              <w:snapToGrid w:val="0"/>
              <w:spacing w:afterLines="50" w:after="180" w:line="0" w:lineRule="atLeast"/>
              <w:ind w:leftChars="0"/>
              <w:jc w:val="both"/>
              <w:rPr>
                <w:rFonts w:eastAsia="標楷體" w:cstheme="minorHAnsi"/>
                <w:szCs w:val="24"/>
              </w:rPr>
            </w:pPr>
            <w:r w:rsidRPr="00B55920">
              <w:rPr>
                <w:rFonts w:eastAsia="標楷體" w:cstheme="minorHAnsi" w:hint="eastAsia"/>
                <w:szCs w:val="24"/>
              </w:rPr>
              <w:t>Additionally, it is recommended that compound code names be cross-referenced, if Module 3 and Module 4 (including toxicity study reports) use different compound naming conventions.</w:t>
            </w:r>
          </w:p>
          <w:p w:rsidR="00BB5044" w:rsidRPr="00B55920" w:rsidRDefault="00BB5044" w:rsidP="00BB5044">
            <w:pPr>
              <w:snapToGrid w:val="0"/>
              <w:spacing w:afterLines="50" w:after="180" w:line="0" w:lineRule="atLeast"/>
              <w:jc w:val="both"/>
              <w:rPr>
                <w:rFonts w:eastAsia="標楷體" w:cstheme="minorHAnsi"/>
                <w:szCs w:val="24"/>
              </w:rPr>
            </w:pPr>
            <w:r w:rsidRPr="00B55920">
              <w:rPr>
                <w:rFonts w:eastAsia="標楷體" w:cstheme="minorHAnsi"/>
                <w:szCs w:val="24"/>
              </w:rPr>
              <w:t>In Module 4, full safety study-related information on impurities (e.g., bacterial reverse mutagenicity assay reports, (Q)SAR reports, genotoxicity test reports, additional testing, etc.) should be included to support the risk assessment and control strategy. This information is often placed in section 4.2.3.7.6 Impurities (see ICH M4S for additional information) and can be cross-referenced to Module 3 by hyperlinks.</w:t>
            </w:r>
          </w:p>
        </w:tc>
        <w:tc>
          <w:tcPr>
            <w:tcW w:w="970" w:type="pct"/>
          </w:tcPr>
          <w:p w:rsidR="00BB5044" w:rsidRPr="00B55920" w:rsidRDefault="00BB5044" w:rsidP="00A54E91">
            <w:pPr>
              <w:snapToGrid w:val="0"/>
              <w:spacing w:beforeLines="50" w:before="180" w:afterLines="50" w:after="180" w:line="0" w:lineRule="atLeast"/>
              <w:contextualSpacing/>
              <w:rPr>
                <w:rFonts w:eastAsia="標楷體" w:cstheme="minorHAnsi"/>
                <w:szCs w:val="24"/>
              </w:rPr>
            </w:pPr>
          </w:p>
        </w:tc>
      </w:tr>
      <w:tr w:rsidR="00BB5044" w:rsidRPr="00B55920" w:rsidTr="00FB63CF">
        <w:tc>
          <w:tcPr>
            <w:tcW w:w="5000" w:type="pct"/>
            <w:gridSpan w:val="4"/>
            <w:vAlign w:val="center"/>
          </w:tcPr>
          <w:p w:rsidR="00BB5044" w:rsidRPr="00B55920" w:rsidRDefault="00BB5044" w:rsidP="00FB63CF">
            <w:pPr>
              <w:snapToGrid w:val="0"/>
              <w:spacing w:beforeLines="50" w:before="180" w:afterLines="50" w:after="180" w:line="0" w:lineRule="atLeast"/>
              <w:contextualSpacing/>
              <w:jc w:val="both"/>
              <w:rPr>
                <w:rFonts w:eastAsia="標楷體" w:cstheme="minorHAnsi"/>
                <w:b/>
                <w:szCs w:val="24"/>
              </w:rPr>
            </w:pPr>
            <w:r w:rsidRPr="00B55920">
              <w:rPr>
                <w:rFonts w:eastAsia="標楷體" w:cstheme="minorHAnsi" w:hint="eastAsia"/>
                <w:b/>
                <w:szCs w:val="24"/>
              </w:rPr>
              <w:t>10. Illustrative Examples</w:t>
            </w:r>
          </w:p>
        </w:tc>
      </w:tr>
      <w:tr w:rsidR="00BB5044" w:rsidRPr="00B55920" w:rsidTr="00EB6C26">
        <w:tc>
          <w:tcPr>
            <w:tcW w:w="262" w:type="pct"/>
          </w:tcPr>
          <w:p w:rsidR="00BB5044" w:rsidRPr="00B55920" w:rsidRDefault="00BB5044" w:rsidP="007B5696">
            <w:pPr>
              <w:snapToGrid w:val="0"/>
              <w:spacing w:line="0" w:lineRule="atLeast"/>
              <w:contextualSpacing/>
              <w:jc w:val="center"/>
              <w:rPr>
                <w:rFonts w:eastAsia="標楷體" w:cstheme="minorHAnsi"/>
                <w:szCs w:val="24"/>
              </w:rPr>
            </w:pPr>
          </w:p>
        </w:tc>
        <w:tc>
          <w:tcPr>
            <w:tcW w:w="1089" w:type="pct"/>
          </w:tcPr>
          <w:p w:rsidR="00BB5044" w:rsidRPr="00B55920" w:rsidRDefault="00BB5044" w:rsidP="007B5696">
            <w:pPr>
              <w:snapToGrid w:val="0"/>
              <w:spacing w:line="0" w:lineRule="atLeast"/>
              <w:contextualSpacing/>
              <w:rPr>
                <w:rFonts w:eastAsia="標楷體" w:cstheme="minorHAnsi"/>
                <w:szCs w:val="24"/>
              </w:rPr>
            </w:pPr>
            <w:r w:rsidRPr="00B55920">
              <w:rPr>
                <w:rFonts w:eastAsia="標楷體" w:cstheme="minorHAnsi"/>
                <w:szCs w:val="24"/>
              </w:rPr>
              <w:t>No Q&amp;A drafted on this section</w:t>
            </w:r>
          </w:p>
        </w:tc>
        <w:tc>
          <w:tcPr>
            <w:tcW w:w="2679" w:type="pct"/>
          </w:tcPr>
          <w:p w:rsidR="00BB5044" w:rsidRPr="00B55920" w:rsidRDefault="00BB5044" w:rsidP="007B5696">
            <w:pPr>
              <w:snapToGrid w:val="0"/>
              <w:spacing w:line="0" w:lineRule="atLeast"/>
              <w:jc w:val="both"/>
              <w:rPr>
                <w:rFonts w:eastAsia="標楷體" w:cstheme="minorHAnsi"/>
                <w:szCs w:val="24"/>
              </w:rPr>
            </w:pPr>
          </w:p>
        </w:tc>
        <w:tc>
          <w:tcPr>
            <w:tcW w:w="970" w:type="pct"/>
          </w:tcPr>
          <w:p w:rsidR="00BB5044" w:rsidRPr="00B55920" w:rsidRDefault="00BB5044" w:rsidP="007B5696">
            <w:pPr>
              <w:snapToGrid w:val="0"/>
              <w:spacing w:line="0" w:lineRule="atLeast"/>
              <w:contextualSpacing/>
              <w:rPr>
                <w:rFonts w:eastAsia="標楷體" w:cstheme="minorHAnsi"/>
                <w:szCs w:val="24"/>
              </w:rPr>
            </w:pPr>
          </w:p>
        </w:tc>
      </w:tr>
      <w:tr w:rsidR="00BB5044" w:rsidRPr="00B55920" w:rsidTr="00FB63CF">
        <w:tc>
          <w:tcPr>
            <w:tcW w:w="5000" w:type="pct"/>
            <w:gridSpan w:val="4"/>
            <w:vAlign w:val="center"/>
          </w:tcPr>
          <w:p w:rsidR="00BB5044" w:rsidRPr="00B55920" w:rsidRDefault="00BB5044" w:rsidP="00FB63CF">
            <w:pPr>
              <w:snapToGrid w:val="0"/>
              <w:spacing w:beforeLines="50" w:before="180" w:afterLines="50" w:after="180" w:line="0" w:lineRule="atLeast"/>
              <w:contextualSpacing/>
              <w:jc w:val="both"/>
              <w:rPr>
                <w:rFonts w:eastAsia="標楷體" w:cstheme="minorHAnsi"/>
                <w:b/>
                <w:szCs w:val="24"/>
              </w:rPr>
            </w:pPr>
            <w:r w:rsidRPr="00B55920">
              <w:rPr>
                <w:rFonts w:eastAsia="標楷體" w:cstheme="minorHAnsi" w:hint="eastAsia"/>
                <w:b/>
                <w:szCs w:val="24"/>
              </w:rPr>
              <w:t>11. Glossary</w:t>
            </w:r>
          </w:p>
        </w:tc>
      </w:tr>
      <w:tr w:rsidR="00BB5044" w:rsidRPr="00B55920" w:rsidTr="00EB6C26">
        <w:trPr>
          <w:trHeight w:val="56"/>
        </w:trPr>
        <w:tc>
          <w:tcPr>
            <w:tcW w:w="262" w:type="pct"/>
          </w:tcPr>
          <w:p w:rsidR="00BB5044" w:rsidRPr="00B55920" w:rsidRDefault="00BB5044" w:rsidP="007B5696">
            <w:pPr>
              <w:snapToGrid w:val="0"/>
              <w:spacing w:line="0" w:lineRule="atLeast"/>
              <w:contextualSpacing/>
              <w:jc w:val="center"/>
              <w:rPr>
                <w:rFonts w:eastAsia="標楷體" w:cstheme="minorHAnsi"/>
                <w:szCs w:val="24"/>
              </w:rPr>
            </w:pPr>
          </w:p>
        </w:tc>
        <w:tc>
          <w:tcPr>
            <w:tcW w:w="1089" w:type="pct"/>
          </w:tcPr>
          <w:p w:rsidR="00BB5044" w:rsidRPr="00B55920" w:rsidRDefault="00BB5044" w:rsidP="007B5696">
            <w:pPr>
              <w:snapToGrid w:val="0"/>
              <w:spacing w:line="0" w:lineRule="atLeast"/>
              <w:contextualSpacing/>
              <w:rPr>
                <w:rFonts w:eastAsia="標楷體" w:cstheme="minorHAnsi"/>
                <w:szCs w:val="24"/>
              </w:rPr>
            </w:pPr>
            <w:r w:rsidRPr="00B55920">
              <w:rPr>
                <w:rFonts w:eastAsia="標楷體" w:cstheme="minorHAnsi"/>
                <w:szCs w:val="24"/>
              </w:rPr>
              <w:t>No Q&amp;A drafted on this section</w:t>
            </w:r>
          </w:p>
        </w:tc>
        <w:tc>
          <w:tcPr>
            <w:tcW w:w="2679" w:type="pct"/>
          </w:tcPr>
          <w:p w:rsidR="00BB5044" w:rsidRPr="00B55920" w:rsidRDefault="00BB5044" w:rsidP="007B5696">
            <w:pPr>
              <w:snapToGrid w:val="0"/>
              <w:spacing w:line="0" w:lineRule="atLeast"/>
              <w:jc w:val="both"/>
              <w:rPr>
                <w:rFonts w:eastAsia="標楷體" w:cstheme="minorHAnsi"/>
                <w:szCs w:val="24"/>
              </w:rPr>
            </w:pPr>
          </w:p>
        </w:tc>
        <w:tc>
          <w:tcPr>
            <w:tcW w:w="970" w:type="pct"/>
          </w:tcPr>
          <w:p w:rsidR="00BB5044" w:rsidRPr="00B55920" w:rsidRDefault="00BB5044" w:rsidP="007B5696">
            <w:pPr>
              <w:snapToGrid w:val="0"/>
              <w:spacing w:line="0" w:lineRule="atLeast"/>
              <w:contextualSpacing/>
              <w:rPr>
                <w:rFonts w:eastAsia="標楷體" w:cstheme="minorHAnsi"/>
                <w:szCs w:val="24"/>
              </w:rPr>
            </w:pPr>
          </w:p>
        </w:tc>
      </w:tr>
      <w:tr w:rsidR="00BB5044" w:rsidRPr="00B55920" w:rsidTr="00FB63CF">
        <w:tc>
          <w:tcPr>
            <w:tcW w:w="5000" w:type="pct"/>
            <w:gridSpan w:val="4"/>
            <w:vAlign w:val="center"/>
          </w:tcPr>
          <w:p w:rsidR="00BB5044" w:rsidRPr="00B55920" w:rsidRDefault="00BB5044" w:rsidP="00FB63CF">
            <w:pPr>
              <w:snapToGrid w:val="0"/>
              <w:spacing w:beforeLines="50" w:before="180" w:afterLines="50" w:after="180" w:line="0" w:lineRule="atLeast"/>
              <w:contextualSpacing/>
              <w:jc w:val="both"/>
              <w:rPr>
                <w:rFonts w:eastAsia="標楷體" w:cstheme="minorHAnsi"/>
                <w:b/>
                <w:szCs w:val="24"/>
              </w:rPr>
            </w:pPr>
            <w:r w:rsidRPr="00B55920">
              <w:rPr>
                <w:rFonts w:eastAsia="標楷體" w:cstheme="minorHAnsi" w:hint="eastAsia"/>
                <w:b/>
                <w:szCs w:val="24"/>
              </w:rPr>
              <w:t>M7 Q&amp;A Support Document</w:t>
            </w:r>
          </w:p>
          <w:p w:rsidR="00784D6E" w:rsidRPr="00B55920" w:rsidRDefault="00784D6E" w:rsidP="00FB63CF">
            <w:pPr>
              <w:snapToGrid w:val="0"/>
              <w:spacing w:beforeLines="50" w:before="180" w:afterLines="50" w:after="180" w:line="0" w:lineRule="atLeast"/>
              <w:contextualSpacing/>
              <w:jc w:val="both"/>
              <w:rPr>
                <w:rFonts w:eastAsia="標楷體" w:cstheme="minorHAnsi"/>
                <w:b/>
                <w:szCs w:val="24"/>
              </w:rPr>
            </w:pPr>
            <w:r w:rsidRPr="00B55920">
              <w:rPr>
                <w:rFonts w:eastAsia="標楷體" w:cstheme="minorHAnsi"/>
                <w:szCs w:val="24"/>
              </w:rPr>
              <w:t xml:space="preserve">Note: The following is an extract of the M7(R2) draft Guideline and is made available as a Support Document to the M7 Q&amp;A question #7.4. The full M7(R2) draft Guideline will be made available for public consultation separately. Please refer to the </w:t>
            </w:r>
            <w:r w:rsidRPr="00AE0530">
              <w:rPr>
                <w:rFonts w:eastAsia="標楷體" w:cstheme="minorHAnsi"/>
                <w:szCs w:val="24"/>
                <w:u w:val="single"/>
              </w:rPr>
              <w:t>ICH website</w:t>
            </w:r>
            <w:r w:rsidRPr="00B55920">
              <w:rPr>
                <w:rFonts w:eastAsia="標楷體" w:cstheme="minorHAnsi"/>
                <w:szCs w:val="24"/>
              </w:rPr>
              <w:t xml:space="preserve"> for further information regarding the status of the M7(R2) draft Guideline.</w:t>
            </w:r>
          </w:p>
        </w:tc>
      </w:tr>
      <w:tr w:rsidR="00784D6E" w:rsidRPr="00B55920" w:rsidTr="00EB6C26">
        <w:trPr>
          <w:trHeight w:val="281"/>
        </w:trPr>
        <w:tc>
          <w:tcPr>
            <w:tcW w:w="262" w:type="pct"/>
          </w:tcPr>
          <w:p w:rsidR="00784D6E" w:rsidRPr="00B55920" w:rsidRDefault="00784D6E" w:rsidP="00FB63CF">
            <w:pPr>
              <w:snapToGrid w:val="0"/>
              <w:spacing w:afterLines="50" w:after="180" w:line="0" w:lineRule="atLeast"/>
              <w:contextualSpacing/>
              <w:jc w:val="center"/>
              <w:rPr>
                <w:rFonts w:eastAsia="標楷體" w:cstheme="minorHAnsi"/>
                <w:szCs w:val="24"/>
              </w:rPr>
            </w:pPr>
          </w:p>
        </w:tc>
        <w:tc>
          <w:tcPr>
            <w:tcW w:w="1089" w:type="pct"/>
          </w:tcPr>
          <w:p w:rsidR="00784D6E" w:rsidRPr="00B55920" w:rsidRDefault="00EB6C26" w:rsidP="00EB6C26">
            <w:pPr>
              <w:snapToGrid w:val="0"/>
              <w:spacing w:afterLines="50" w:after="180" w:line="0" w:lineRule="atLeast"/>
              <w:contextualSpacing/>
              <w:rPr>
                <w:rFonts w:eastAsia="標楷體" w:cstheme="minorHAnsi"/>
                <w:szCs w:val="24"/>
              </w:rPr>
            </w:pPr>
            <w:r w:rsidRPr="00B55920">
              <w:rPr>
                <w:rFonts w:ascii="CIDFont+F4" w:eastAsia="CIDFont+F4" w:cs="CIDFont+F4"/>
                <w:kern w:val="0"/>
                <w:szCs w:val="24"/>
              </w:rPr>
              <w:t>Note 7</w:t>
            </w:r>
            <w:r w:rsidR="00784D6E" w:rsidRPr="00B55920">
              <w:rPr>
                <w:rFonts w:eastAsia="標楷體" w:cstheme="minorHAnsi"/>
                <w:szCs w:val="24"/>
              </w:rPr>
              <w:t>Table 4: Examples of clinical use scenarios with different treatment durations for</w:t>
            </w:r>
            <w:r>
              <w:rPr>
                <w:rFonts w:eastAsia="標楷體" w:cstheme="minorHAnsi" w:hint="eastAsia"/>
                <w:szCs w:val="24"/>
              </w:rPr>
              <w:t xml:space="preserve"> </w:t>
            </w:r>
            <w:r w:rsidR="00784D6E" w:rsidRPr="00B55920">
              <w:rPr>
                <w:rFonts w:eastAsia="標楷體" w:cstheme="minorHAnsi"/>
                <w:szCs w:val="24"/>
              </w:rPr>
              <w:t>applying acceptable intakes</w:t>
            </w:r>
          </w:p>
        </w:tc>
        <w:tc>
          <w:tcPr>
            <w:tcW w:w="2679" w:type="pct"/>
          </w:tcPr>
          <w:tbl>
            <w:tblPr>
              <w:tblStyle w:val="a3"/>
              <w:tblW w:w="0" w:type="auto"/>
              <w:tblLayout w:type="fixed"/>
              <w:tblLook w:val="04A0" w:firstRow="1" w:lastRow="0" w:firstColumn="1" w:lastColumn="0" w:noHBand="0" w:noVBand="1"/>
            </w:tblPr>
            <w:tblGrid>
              <w:gridCol w:w="6554"/>
              <w:gridCol w:w="1722"/>
            </w:tblGrid>
            <w:tr w:rsidR="00784D6E" w:rsidRPr="00B55920" w:rsidTr="00EB6C26">
              <w:trPr>
                <w:trHeight w:val="56"/>
              </w:trPr>
              <w:tc>
                <w:tcPr>
                  <w:tcW w:w="6554" w:type="dxa"/>
                </w:tcPr>
                <w:p w:rsidR="00784D6E" w:rsidRPr="00B55920" w:rsidRDefault="00784D6E" w:rsidP="00784D6E">
                  <w:pPr>
                    <w:snapToGrid w:val="0"/>
                    <w:spacing w:afterLines="50" w:after="180" w:line="0" w:lineRule="atLeast"/>
                    <w:contextualSpacing/>
                    <w:jc w:val="both"/>
                    <w:rPr>
                      <w:rFonts w:eastAsia="標楷體" w:cstheme="minorHAnsi"/>
                      <w:szCs w:val="24"/>
                    </w:rPr>
                  </w:pPr>
                  <w:r w:rsidRPr="00B55920">
                    <w:rPr>
                      <w:rFonts w:eastAsia="標楷體" w:cstheme="minorHAnsi"/>
                      <w:szCs w:val="24"/>
                    </w:rPr>
                    <w:t>Scenario</w:t>
                  </w:r>
                  <w:r w:rsidRPr="00B55920">
                    <w:rPr>
                      <w:rFonts w:eastAsia="標楷體" w:cstheme="minorHAnsi"/>
                      <w:szCs w:val="24"/>
                      <w:vertAlign w:val="superscript"/>
                    </w:rPr>
                    <w:t>1</w:t>
                  </w:r>
                </w:p>
              </w:tc>
              <w:tc>
                <w:tcPr>
                  <w:tcW w:w="1722" w:type="dxa"/>
                </w:tcPr>
                <w:p w:rsidR="00784D6E" w:rsidRPr="00B55920" w:rsidRDefault="00784D6E" w:rsidP="00784D6E">
                  <w:pPr>
                    <w:snapToGrid w:val="0"/>
                    <w:spacing w:afterLines="50" w:after="180" w:line="0" w:lineRule="atLeast"/>
                    <w:contextualSpacing/>
                    <w:jc w:val="center"/>
                    <w:rPr>
                      <w:rFonts w:eastAsia="標楷體" w:cstheme="minorHAnsi"/>
                      <w:szCs w:val="24"/>
                    </w:rPr>
                  </w:pPr>
                  <w:r w:rsidRPr="00B55920">
                    <w:rPr>
                      <w:rFonts w:eastAsia="標楷體" w:cstheme="minorHAnsi"/>
                      <w:szCs w:val="24"/>
                    </w:rPr>
                    <w:t>Acceptable Intake</w:t>
                  </w:r>
                  <w:r w:rsidRPr="00B55920">
                    <w:rPr>
                      <w:rFonts w:eastAsia="標楷體" w:cstheme="minorHAnsi" w:hint="eastAsia"/>
                      <w:szCs w:val="24"/>
                    </w:rPr>
                    <w:t xml:space="preserve"> </w:t>
                  </w:r>
                  <w:r w:rsidRPr="00B55920">
                    <w:rPr>
                      <w:rFonts w:eastAsia="標楷體" w:cstheme="minorHAnsi"/>
                      <w:szCs w:val="24"/>
                    </w:rPr>
                    <w:t>(μg/day)</w:t>
                  </w:r>
                </w:p>
              </w:tc>
            </w:tr>
            <w:tr w:rsidR="00784D6E" w:rsidRPr="00B55920" w:rsidTr="00784D6E">
              <w:tc>
                <w:tcPr>
                  <w:tcW w:w="6554" w:type="dxa"/>
                </w:tcPr>
                <w:p w:rsidR="00784D6E" w:rsidRPr="00B55920" w:rsidRDefault="00784D6E" w:rsidP="00784D6E">
                  <w:pPr>
                    <w:snapToGrid w:val="0"/>
                    <w:spacing w:afterLines="50" w:after="180" w:line="0" w:lineRule="atLeast"/>
                    <w:contextualSpacing/>
                    <w:jc w:val="both"/>
                    <w:rPr>
                      <w:rFonts w:eastAsia="標楷體" w:cstheme="minorHAnsi"/>
                      <w:szCs w:val="24"/>
                    </w:rPr>
                  </w:pPr>
                  <w:r w:rsidRPr="00B55920">
                    <w:rPr>
                      <w:rFonts w:eastAsia="標楷體" w:cstheme="minorHAnsi"/>
                      <w:b/>
                      <w:szCs w:val="24"/>
                    </w:rPr>
                    <w:t>Treatment duration of &lt; 1 month</w:t>
                  </w:r>
                  <w:r w:rsidRPr="00B55920">
                    <w:rPr>
                      <w:rFonts w:eastAsia="標楷體" w:cstheme="minorHAnsi"/>
                      <w:szCs w:val="24"/>
                    </w:rPr>
                    <w:t>: e.g., drugs used in emergency</w:t>
                  </w:r>
                </w:p>
                <w:p w:rsidR="00784D6E" w:rsidRPr="00B55920" w:rsidRDefault="00784D6E" w:rsidP="00784D6E">
                  <w:pPr>
                    <w:snapToGrid w:val="0"/>
                    <w:spacing w:afterLines="50" w:after="180" w:line="0" w:lineRule="atLeast"/>
                    <w:contextualSpacing/>
                    <w:jc w:val="both"/>
                    <w:rPr>
                      <w:rFonts w:eastAsia="標楷體" w:cstheme="minorHAnsi"/>
                      <w:szCs w:val="24"/>
                    </w:rPr>
                  </w:pPr>
                  <w:r w:rsidRPr="00B55920">
                    <w:rPr>
                      <w:rFonts w:eastAsia="標楷體" w:cstheme="minorHAnsi"/>
                      <w:szCs w:val="24"/>
                    </w:rPr>
                    <w:t>procedures (antidotes, anesthesia, acute ischemic stroke), actinic</w:t>
                  </w:r>
                </w:p>
                <w:p w:rsidR="00784D6E" w:rsidRPr="00B55920" w:rsidRDefault="00784D6E" w:rsidP="00784D6E">
                  <w:pPr>
                    <w:snapToGrid w:val="0"/>
                    <w:spacing w:afterLines="50" w:after="180" w:line="0" w:lineRule="atLeast"/>
                    <w:contextualSpacing/>
                    <w:jc w:val="both"/>
                    <w:rPr>
                      <w:rFonts w:eastAsia="標楷體" w:cstheme="minorHAnsi"/>
                      <w:szCs w:val="24"/>
                    </w:rPr>
                  </w:pPr>
                  <w:r w:rsidRPr="00B55920">
                    <w:rPr>
                      <w:rFonts w:eastAsia="標楷體" w:cstheme="minorHAnsi"/>
                      <w:szCs w:val="24"/>
                    </w:rPr>
                    <w:t>keratosis, treatment of lice</w:t>
                  </w:r>
                </w:p>
              </w:tc>
              <w:tc>
                <w:tcPr>
                  <w:tcW w:w="1722" w:type="dxa"/>
                </w:tcPr>
                <w:p w:rsidR="00784D6E" w:rsidRPr="00B55920" w:rsidRDefault="00784D6E" w:rsidP="00784D6E">
                  <w:pPr>
                    <w:snapToGrid w:val="0"/>
                    <w:spacing w:afterLines="50" w:after="180" w:line="0" w:lineRule="atLeast"/>
                    <w:contextualSpacing/>
                    <w:jc w:val="center"/>
                    <w:rPr>
                      <w:rFonts w:eastAsia="標楷體" w:cstheme="minorHAnsi"/>
                      <w:szCs w:val="24"/>
                    </w:rPr>
                  </w:pPr>
                  <w:r w:rsidRPr="00B55920">
                    <w:rPr>
                      <w:rFonts w:eastAsia="標楷體" w:cstheme="minorHAnsi" w:hint="eastAsia"/>
                      <w:szCs w:val="24"/>
                    </w:rPr>
                    <w:t>120</w:t>
                  </w:r>
                </w:p>
              </w:tc>
            </w:tr>
            <w:tr w:rsidR="00784D6E" w:rsidRPr="00B55920" w:rsidTr="00784D6E">
              <w:tc>
                <w:tcPr>
                  <w:tcW w:w="6554" w:type="dxa"/>
                </w:tcPr>
                <w:p w:rsidR="00784D6E" w:rsidRPr="00B55920" w:rsidRDefault="00784D6E" w:rsidP="00784D6E">
                  <w:pPr>
                    <w:snapToGrid w:val="0"/>
                    <w:spacing w:afterLines="50" w:after="180" w:line="0" w:lineRule="atLeast"/>
                    <w:contextualSpacing/>
                    <w:jc w:val="both"/>
                    <w:rPr>
                      <w:rFonts w:eastAsia="標楷體" w:cstheme="minorHAnsi"/>
                      <w:szCs w:val="24"/>
                    </w:rPr>
                  </w:pPr>
                  <w:r w:rsidRPr="00B55920">
                    <w:rPr>
                      <w:rFonts w:eastAsia="標楷體" w:cstheme="minorHAnsi"/>
                      <w:b/>
                      <w:szCs w:val="24"/>
                    </w:rPr>
                    <w:t>Treatment duration of &gt; 1-12 months</w:t>
                  </w:r>
                  <w:r w:rsidRPr="00B55920">
                    <w:rPr>
                      <w:rFonts w:eastAsia="標楷體" w:cstheme="minorHAnsi"/>
                      <w:szCs w:val="24"/>
                    </w:rPr>
                    <w:t>: e.g., anti-infective therapy</w:t>
                  </w:r>
                </w:p>
                <w:p w:rsidR="00784D6E" w:rsidRPr="00B55920" w:rsidRDefault="00784D6E" w:rsidP="00784D6E">
                  <w:pPr>
                    <w:snapToGrid w:val="0"/>
                    <w:spacing w:afterLines="50" w:after="180" w:line="0" w:lineRule="atLeast"/>
                    <w:contextualSpacing/>
                    <w:jc w:val="both"/>
                    <w:rPr>
                      <w:rFonts w:eastAsia="標楷體" w:cstheme="minorHAnsi"/>
                      <w:szCs w:val="24"/>
                    </w:rPr>
                  </w:pPr>
                  <w:r w:rsidRPr="00B55920">
                    <w:rPr>
                      <w:rFonts w:eastAsia="標楷體" w:cstheme="minorHAnsi"/>
                      <w:szCs w:val="24"/>
                    </w:rPr>
                    <w:lastRenderedPageBreak/>
                    <w:t>with maximum up to 12 months treatment (HCV), parenteral</w:t>
                  </w:r>
                </w:p>
                <w:p w:rsidR="00784D6E" w:rsidRPr="00B55920" w:rsidRDefault="00784D6E" w:rsidP="00784D6E">
                  <w:pPr>
                    <w:snapToGrid w:val="0"/>
                    <w:spacing w:afterLines="50" w:after="180" w:line="0" w:lineRule="atLeast"/>
                    <w:contextualSpacing/>
                    <w:jc w:val="both"/>
                    <w:rPr>
                      <w:rFonts w:eastAsia="標楷體" w:cstheme="minorHAnsi"/>
                      <w:szCs w:val="24"/>
                    </w:rPr>
                  </w:pPr>
                  <w:r w:rsidRPr="00B55920">
                    <w:rPr>
                      <w:rFonts w:eastAsia="標楷體" w:cstheme="minorHAnsi"/>
                      <w:szCs w:val="24"/>
                    </w:rPr>
                    <w:t>nutrients, prophylactic flu drugs (~ 5 months), peptic ulcer, Assisted</w:t>
                  </w:r>
                </w:p>
                <w:p w:rsidR="00784D6E" w:rsidRPr="00B55920" w:rsidRDefault="00784D6E" w:rsidP="00784D6E">
                  <w:pPr>
                    <w:snapToGrid w:val="0"/>
                    <w:spacing w:afterLines="50" w:after="180" w:line="0" w:lineRule="atLeast"/>
                    <w:contextualSpacing/>
                    <w:jc w:val="both"/>
                    <w:rPr>
                      <w:rFonts w:eastAsia="標楷體" w:cstheme="minorHAnsi"/>
                      <w:szCs w:val="24"/>
                    </w:rPr>
                  </w:pPr>
                  <w:r w:rsidRPr="00B55920">
                    <w:rPr>
                      <w:rFonts w:eastAsia="標楷體" w:cstheme="minorHAnsi"/>
                      <w:szCs w:val="24"/>
                    </w:rPr>
                    <w:t>Reproductive Technology (ART), pre-term labor, preeclampsia, presurgical</w:t>
                  </w:r>
                </w:p>
                <w:p w:rsidR="00784D6E" w:rsidRPr="00B55920" w:rsidRDefault="00784D6E" w:rsidP="00784D6E">
                  <w:pPr>
                    <w:snapToGrid w:val="0"/>
                    <w:spacing w:afterLines="50" w:after="180" w:line="0" w:lineRule="atLeast"/>
                    <w:contextualSpacing/>
                    <w:jc w:val="both"/>
                    <w:rPr>
                      <w:rFonts w:eastAsia="標楷體" w:cstheme="minorHAnsi"/>
                      <w:szCs w:val="24"/>
                    </w:rPr>
                  </w:pPr>
                  <w:r w:rsidRPr="00B55920">
                    <w:rPr>
                      <w:rFonts w:eastAsia="標楷體" w:cstheme="minorHAnsi"/>
                      <w:szCs w:val="24"/>
                    </w:rPr>
                    <w:t>(hysterectomy) treatment, fracture healing (these are acute</w:t>
                  </w:r>
                </w:p>
                <w:p w:rsidR="00784D6E" w:rsidRPr="00B55920" w:rsidRDefault="00784D6E" w:rsidP="00784D6E">
                  <w:pPr>
                    <w:snapToGrid w:val="0"/>
                    <w:spacing w:afterLines="50" w:after="180" w:line="0" w:lineRule="atLeast"/>
                    <w:contextualSpacing/>
                    <w:jc w:val="both"/>
                    <w:rPr>
                      <w:rFonts w:eastAsia="標楷體" w:cstheme="minorHAnsi"/>
                      <w:szCs w:val="24"/>
                    </w:rPr>
                  </w:pPr>
                  <w:r w:rsidRPr="00B55920">
                    <w:rPr>
                      <w:rFonts w:eastAsia="標楷體" w:cstheme="minorHAnsi"/>
                      <w:szCs w:val="24"/>
                    </w:rPr>
                    <w:t>use but with long half-lives)</w:t>
                  </w:r>
                </w:p>
              </w:tc>
              <w:tc>
                <w:tcPr>
                  <w:tcW w:w="1722" w:type="dxa"/>
                </w:tcPr>
                <w:p w:rsidR="00784D6E" w:rsidRPr="00B55920" w:rsidRDefault="00784D6E" w:rsidP="00784D6E">
                  <w:pPr>
                    <w:snapToGrid w:val="0"/>
                    <w:spacing w:afterLines="50" w:after="180" w:line="0" w:lineRule="atLeast"/>
                    <w:contextualSpacing/>
                    <w:jc w:val="center"/>
                    <w:rPr>
                      <w:rFonts w:eastAsia="標楷體" w:cstheme="minorHAnsi"/>
                      <w:szCs w:val="24"/>
                    </w:rPr>
                  </w:pPr>
                  <w:r w:rsidRPr="00B55920">
                    <w:rPr>
                      <w:rFonts w:eastAsia="標楷體" w:cstheme="minorHAnsi" w:hint="eastAsia"/>
                      <w:szCs w:val="24"/>
                    </w:rPr>
                    <w:lastRenderedPageBreak/>
                    <w:t>20</w:t>
                  </w:r>
                </w:p>
              </w:tc>
            </w:tr>
            <w:tr w:rsidR="00784D6E" w:rsidRPr="00B55920" w:rsidTr="00784D6E">
              <w:tc>
                <w:tcPr>
                  <w:tcW w:w="6554" w:type="dxa"/>
                </w:tcPr>
                <w:p w:rsidR="00784D6E" w:rsidRPr="00B55920" w:rsidRDefault="00784D6E" w:rsidP="00784D6E">
                  <w:pPr>
                    <w:snapToGrid w:val="0"/>
                    <w:spacing w:afterLines="50" w:after="180" w:line="0" w:lineRule="atLeast"/>
                    <w:contextualSpacing/>
                    <w:jc w:val="both"/>
                    <w:rPr>
                      <w:rFonts w:eastAsia="標楷體" w:cstheme="minorHAnsi"/>
                      <w:szCs w:val="24"/>
                    </w:rPr>
                  </w:pPr>
                  <w:r w:rsidRPr="00B55920">
                    <w:rPr>
                      <w:rFonts w:eastAsia="標楷體" w:cstheme="minorHAnsi"/>
                      <w:b/>
                      <w:szCs w:val="24"/>
                    </w:rPr>
                    <w:t>Treatment duration of &gt;1-10 years</w:t>
                  </w:r>
                  <w:r w:rsidRPr="00B55920">
                    <w:rPr>
                      <w:rFonts w:eastAsia="標楷體" w:cstheme="minorHAnsi"/>
                      <w:szCs w:val="24"/>
                    </w:rPr>
                    <w:t>: e.g., stage of disease with</w:t>
                  </w:r>
                </w:p>
                <w:p w:rsidR="00784D6E" w:rsidRPr="00B55920" w:rsidRDefault="00784D6E" w:rsidP="00784D6E">
                  <w:pPr>
                    <w:snapToGrid w:val="0"/>
                    <w:spacing w:afterLines="50" w:after="180" w:line="0" w:lineRule="atLeast"/>
                    <w:contextualSpacing/>
                    <w:jc w:val="both"/>
                    <w:rPr>
                      <w:rFonts w:eastAsia="標楷體" w:cstheme="minorHAnsi"/>
                      <w:szCs w:val="24"/>
                    </w:rPr>
                  </w:pPr>
                  <w:r w:rsidRPr="00B55920">
                    <w:rPr>
                      <w:rFonts w:eastAsia="標楷體" w:cstheme="minorHAnsi"/>
                      <w:szCs w:val="24"/>
                    </w:rPr>
                    <w:t>short life expectancy (severe Alzheimer’s), non-genotoxic anticancer</w:t>
                  </w:r>
                  <w:r w:rsidRPr="00B55920">
                    <w:rPr>
                      <w:rFonts w:eastAsia="標楷體" w:cstheme="minorHAnsi" w:hint="eastAsia"/>
                      <w:szCs w:val="24"/>
                    </w:rPr>
                    <w:t xml:space="preserve"> </w:t>
                  </w:r>
                  <w:r w:rsidRPr="00B55920">
                    <w:rPr>
                      <w:rFonts w:eastAsia="標楷體" w:cstheme="minorHAnsi"/>
                      <w:szCs w:val="24"/>
                    </w:rPr>
                    <w:t>treatment being used in a patient population with longer term survival</w:t>
                  </w:r>
                  <w:r w:rsidRPr="00B55920">
                    <w:rPr>
                      <w:rFonts w:eastAsia="標楷體" w:cstheme="minorHAnsi" w:hint="eastAsia"/>
                      <w:szCs w:val="24"/>
                    </w:rPr>
                    <w:t xml:space="preserve"> </w:t>
                  </w:r>
                  <w:r w:rsidRPr="00B55920">
                    <w:rPr>
                      <w:rFonts w:eastAsia="標楷體" w:cstheme="minorHAnsi"/>
                      <w:szCs w:val="24"/>
                    </w:rPr>
                    <w:t>(breast cancer, chronic myelogenous leukemia), drugs specifically</w:t>
                  </w:r>
                  <w:r w:rsidRPr="00B55920">
                    <w:rPr>
                      <w:rFonts w:eastAsia="標楷體" w:cstheme="minorHAnsi" w:hint="eastAsia"/>
                      <w:szCs w:val="24"/>
                    </w:rPr>
                    <w:t xml:space="preserve"> </w:t>
                  </w:r>
                  <w:r w:rsidRPr="00B55920">
                    <w:rPr>
                      <w:rFonts w:eastAsia="標楷體" w:cstheme="minorHAnsi"/>
                      <w:szCs w:val="24"/>
                    </w:rPr>
                    <w:t>labeled for less than 10 years of use, drugs administered</w:t>
                  </w:r>
                  <w:r w:rsidRPr="00B55920">
                    <w:rPr>
                      <w:rFonts w:eastAsia="標楷體" w:cstheme="minorHAnsi" w:hint="eastAsia"/>
                      <w:szCs w:val="24"/>
                    </w:rPr>
                    <w:t xml:space="preserve"> </w:t>
                  </w:r>
                  <w:r w:rsidRPr="00B55920">
                    <w:rPr>
                      <w:rFonts w:eastAsia="標楷體" w:cstheme="minorHAnsi"/>
                      <w:szCs w:val="24"/>
                    </w:rPr>
                    <w:t>intermittently to treat acute recurring symptoms2 (chronic Herpes,</w:t>
                  </w:r>
                  <w:r w:rsidRPr="00B55920">
                    <w:rPr>
                      <w:rFonts w:eastAsia="標楷體" w:cstheme="minorHAnsi" w:hint="eastAsia"/>
                      <w:szCs w:val="24"/>
                    </w:rPr>
                    <w:t xml:space="preserve"> </w:t>
                  </w:r>
                  <w:r w:rsidRPr="00B55920">
                    <w:rPr>
                      <w:rFonts w:eastAsia="標楷體" w:cstheme="minorHAnsi"/>
                      <w:szCs w:val="24"/>
                    </w:rPr>
                    <w:t>gout attacks, substance dependence such as smoking cessation),</w:t>
                  </w:r>
                </w:p>
                <w:p w:rsidR="00784D6E" w:rsidRPr="00B55920" w:rsidRDefault="00784D6E" w:rsidP="00784D6E">
                  <w:pPr>
                    <w:snapToGrid w:val="0"/>
                    <w:spacing w:afterLines="50" w:after="180" w:line="0" w:lineRule="atLeast"/>
                    <w:contextualSpacing/>
                    <w:jc w:val="both"/>
                    <w:rPr>
                      <w:rFonts w:eastAsia="標楷體" w:cstheme="minorHAnsi"/>
                      <w:szCs w:val="24"/>
                    </w:rPr>
                  </w:pPr>
                  <w:r w:rsidRPr="00B55920">
                    <w:rPr>
                      <w:rFonts w:eastAsia="標楷體" w:cstheme="minorHAnsi"/>
                      <w:szCs w:val="24"/>
                    </w:rPr>
                    <w:t>macular degeneration</w:t>
                  </w:r>
                  <w:r w:rsidRPr="00B55920">
                    <w:rPr>
                      <w:rFonts w:eastAsia="標楷體" w:cstheme="minorHAnsi"/>
                      <w:strike/>
                      <w:color w:val="0070C0"/>
                      <w:szCs w:val="24"/>
                    </w:rPr>
                    <w:t>, HIV</w:t>
                  </w:r>
                  <w:r w:rsidRPr="00B55920">
                    <w:rPr>
                      <w:rFonts w:eastAsia="標楷體" w:cstheme="minorHAnsi"/>
                      <w:strike/>
                      <w:color w:val="0070C0"/>
                      <w:szCs w:val="24"/>
                      <w:vertAlign w:val="superscript"/>
                    </w:rPr>
                    <w:t>3</w:t>
                  </w:r>
                </w:p>
              </w:tc>
              <w:tc>
                <w:tcPr>
                  <w:tcW w:w="1722" w:type="dxa"/>
                </w:tcPr>
                <w:p w:rsidR="00784D6E" w:rsidRPr="00B55920" w:rsidRDefault="00784D6E" w:rsidP="00784D6E">
                  <w:pPr>
                    <w:snapToGrid w:val="0"/>
                    <w:spacing w:afterLines="50" w:after="180" w:line="0" w:lineRule="atLeast"/>
                    <w:contextualSpacing/>
                    <w:jc w:val="center"/>
                    <w:rPr>
                      <w:rFonts w:eastAsia="標楷體" w:cstheme="minorHAnsi"/>
                      <w:szCs w:val="24"/>
                    </w:rPr>
                  </w:pPr>
                  <w:r w:rsidRPr="00B55920">
                    <w:rPr>
                      <w:rFonts w:eastAsia="標楷體" w:cstheme="minorHAnsi" w:hint="eastAsia"/>
                      <w:szCs w:val="24"/>
                    </w:rPr>
                    <w:t>10</w:t>
                  </w:r>
                </w:p>
              </w:tc>
            </w:tr>
            <w:tr w:rsidR="00784D6E" w:rsidRPr="00B55920" w:rsidTr="00784D6E">
              <w:tc>
                <w:tcPr>
                  <w:tcW w:w="6554" w:type="dxa"/>
                </w:tcPr>
                <w:p w:rsidR="00784D6E" w:rsidRPr="00B55920" w:rsidRDefault="00784D6E" w:rsidP="00784D6E">
                  <w:pPr>
                    <w:snapToGrid w:val="0"/>
                    <w:spacing w:afterLines="50" w:after="180" w:line="0" w:lineRule="atLeast"/>
                    <w:contextualSpacing/>
                    <w:jc w:val="both"/>
                    <w:rPr>
                      <w:rFonts w:eastAsia="標楷體" w:cstheme="minorHAnsi"/>
                      <w:szCs w:val="24"/>
                    </w:rPr>
                  </w:pPr>
                  <w:r w:rsidRPr="00B55920">
                    <w:rPr>
                      <w:rFonts w:eastAsia="標楷體" w:cstheme="minorHAnsi"/>
                      <w:b/>
                      <w:szCs w:val="24"/>
                    </w:rPr>
                    <w:t>Treatment duration of &gt;10 years to lifetime</w:t>
                  </w:r>
                  <w:r w:rsidRPr="00B55920">
                    <w:rPr>
                      <w:rFonts w:eastAsia="標楷體" w:cstheme="minorHAnsi"/>
                      <w:szCs w:val="24"/>
                    </w:rPr>
                    <w:t>: e.g., chronic use</w:t>
                  </w:r>
                </w:p>
                <w:p w:rsidR="00784D6E" w:rsidRPr="00B55920" w:rsidRDefault="00784D6E" w:rsidP="00784D6E">
                  <w:pPr>
                    <w:snapToGrid w:val="0"/>
                    <w:spacing w:afterLines="50" w:after="180" w:line="0" w:lineRule="atLeast"/>
                    <w:contextualSpacing/>
                    <w:jc w:val="both"/>
                    <w:rPr>
                      <w:rFonts w:eastAsia="標楷體" w:cstheme="minorHAnsi"/>
                      <w:szCs w:val="24"/>
                    </w:rPr>
                  </w:pPr>
                  <w:r w:rsidRPr="00B55920">
                    <w:rPr>
                      <w:rFonts w:eastAsia="標楷體" w:cstheme="minorHAnsi"/>
                      <w:szCs w:val="24"/>
                    </w:rPr>
                    <w:t>indications with high likelihood for lifetime use across broader age</w:t>
                  </w:r>
                  <w:r w:rsidRPr="00B55920">
                    <w:rPr>
                      <w:rFonts w:eastAsia="標楷體" w:cstheme="minorHAnsi" w:hint="eastAsia"/>
                      <w:szCs w:val="24"/>
                    </w:rPr>
                    <w:t xml:space="preserve"> </w:t>
                  </w:r>
                  <w:r w:rsidRPr="00B55920">
                    <w:rPr>
                      <w:rFonts w:eastAsia="標楷體" w:cstheme="minorHAnsi"/>
                      <w:szCs w:val="24"/>
                    </w:rPr>
                    <w:t>range (hypertension, dyslipidemia, asthma, Alzheimer’s (except</w:t>
                  </w:r>
                  <w:r w:rsidRPr="00B55920">
                    <w:rPr>
                      <w:rFonts w:eastAsia="標楷體" w:cstheme="minorHAnsi" w:hint="eastAsia"/>
                      <w:szCs w:val="24"/>
                    </w:rPr>
                    <w:t xml:space="preserve"> </w:t>
                  </w:r>
                  <w:r w:rsidRPr="00B55920">
                    <w:rPr>
                      <w:rFonts w:eastAsia="標楷體" w:cstheme="minorHAnsi"/>
                      <w:szCs w:val="24"/>
                    </w:rPr>
                    <w:t>severe Alzheimer disease), hormone therapy (e.g., growth hormone,</w:t>
                  </w:r>
                  <w:r w:rsidRPr="00B55920">
                    <w:rPr>
                      <w:rFonts w:eastAsia="標楷體" w:cstheme="minorHAnsi" w:hint="eastAsia"/>
                      <w:szCs w:val="24"/>
                    </w:rPr>
                    <w:t xml:space="preserve"> </w:t>
                  </w:r>
                  <w:r w:rsidRPr="00B55920">
                    <w:rPr>
                      <w:rFonts w:eastAsia="標楷體" w:cstheme="minorHAnsi"/>
                      <w:szCs w:val="24"/>
                    </w:rPr>
                    <w:t>thyroid hormone, parathyroid hormone), lipodystrophy,</w:t>
                  </w:r>
                  <w:r w:rsidRPr="00B55920">
                    <w:rPr>
                      <w:rFonts w:eastAsia="標楷體" w:cstheme="minorHAnsi" w:hint="eastAsia"/>
                      <w:szCs w:val="24"/>
                    </w:rPr>
                    <w:t xml:space="preserve"> </w:t>
                  </w:r>
                  <w:r w:rsidRPr="00B55920">
                    <w:rPr>
                      <w:rFonts w:eastAsia="標楷體" w:cstheme="minorHAnsi"/>
                      <w:szCs w:val="24"/>
                    </w:rPr>
                    <w:t>schizophrenia, depression, psoriasis, atopic dermatitis, Chronic</w:t>
                  </w:r>
                  <w:r w:rsidRPr="00B55920">
                    <w:rPr>
                      <w:rFonts w:eastAsia="標楷體" w:cstheme="minorHAnsi" w:hint="eastAsia"/>
                      <w:szCs w:val="24"/>
                    </w:rPr>
                    <w:t xml:space="preserve"> </w:t>
                  </w:r>
                  <w:r w:rsidRPr="00B55920">
                    <w:rPr>
                      <w:rFonts w:eastAsia="標楷體" w:cstheme="minorHAnsi"/>
                      <w:szCs w:val="24"/>
                    </w:rPr>
                    <w:t>Obstructive Pulmonary Disease (COPD), cystic fibrosis, seasonal and</w:t>
                  </w:r>
                  <w:r w:rsidRPr="00B55920">
                    <w:rPr>
                      <w:rFonts w:eastAsia="標楷體" w:cstheme="minorHAnsi" w:hint="eastAsia"/>
                      <w:szCs w:val="24"/>
                    </w:rPr>
                    <w:t xml:space="preserve"> </w:t>
                  </w:r>
                  <w:r w:rsidRPr="00B55920">
                    <w:rPr>
                      <w:rFonts w:eastAsia="標楷體" w:cstheme="minorHAnsi"/>
                      <w:szCs w:val="24"/>
                    </w:rPr>
                    <w:t>perennial allergic rhinitis</w:t>
                  </w:r>
                  <w:r w:rsidRPr="00B55920">
                    <w:rPr>
                      <w:rFonts w:eastAsia="標楷體" w:cstheme="minorHAnsi"/>
                      <w:color w:val="0070C0"/>
                      <w:szCs w:val="24"/>
                    </w:rPr>
                    <w:t>, HIV</w:t>
                  </w:r>
                  <w:r w:rsidRPr="00B55920">
                    <w:rPr>
                      <w:rFonts w:eastAsia="標楷體" w:cstheme="minorHAnsi"/>
                      <w:color w:val="0070C0"/>
                      <w:szCs w:val="24"/>
                      <w:vertAlign w:val="superscript"/>
                    </w:rPr>
                    <w:t>3</w:t>
                  </w:r>
                </w:p>
              </w:tc>
              <w:tc>
                <w:tcPr>
                  <w:tcW w:w="1722" w:type="dxa"/>
                </w:tcPr>
                <w:p w:rsidR="00784D6E" w:rsidRPr="00B55920" w:rsidRDefault="00784D6E" w:rsidP="00784D6E">
                  <w:pPr>
                    <w:snapToGrid w:val="0"/>
                    <w:spacing w:afterLines="50" w:after="180" w:line="0" w:lineRule="atLeast"/>
                    <w:contextualSpacing/>
                    <w:jc w:val="center"/>
                    <w:rPr>
                      <w:rFonts w:eastAsia="標楷體" w:cstheme="minorHAnsi"/>
                      <w:szCs w:val="24"/>
                    </w:rPr>
                  </w:pPr>
                  <w:r w:rsidRPr="00B55920">
                    <w:rPr>
                      <w:rFonts w:eastAsia="標楷體" w:cstheme="minorHAnsi" w:hint="eastAsia"/>
                      <w:szCs w:val="24"/>
                    </w:rPr>
                    <w:t>1.5</w:t>
                  </w:r>
                </w:p>
              </w:tc>
            </w:tr>
          </w:tbl>
          <w:p w:rsidR="00784D6E" w:rsidRPr="00B55920" w:rsidRDefault="00784D6E" w:rsidP="00784D6E">
            <w:pPr>
              <w:snapToGrid w:val="0"/>
              <w:spacing w:afterLines="50" w:after="180" w:line="0" w:lineRule="atLeast"/>
              <w:contextualSpacing/>
              <w:jc w:val="both"/>
              <w:rPr>
                <w:rFonts w:eastAsia="標楷體" w:cstheme="minorHAnsi"/>
                <w:szCs w:val="24"/>
              </w:rPr>
            </w:pPr>
            <w:r w:rsidRPr="00B55920">
              <w:rPr>
                <w:rFonts w:eastAsia="標楷體" w:cstheme="minorHAnsi"/>
                <w:szCs w:val="24"/>
                <w:vertAlign w:val="superscript"/>
              </w:rPr>
              <w:t xml:space="preserve">1 </w:t>
            </w:r>
            <w:r w:rsidRPr="00B55920">
              <w:rPr>
                <w:rFonts w:eastAsia="標楷體" w:cstheme="minorHAnsi"/>
                <w:szCs w:val="24"/>
              </w:rPr>
              <w:t>This table shows general examples; each example should be examined on a case-by-case</w:t>
            </w:r>
            <w:r w:rsidRPr="00B55920">
              <w:rPr>
                <w:rFonts w:eastAsia="標楷體" w:cstheme="minorHAnsi" w:hint="eastAsia"/>
                <w:szCs w:val="24"/>
              </w:rPr>
              <w:t xml:space="preserve"> </w:t>
            </w:r>
            <w:r w:rsidRPr="00B55920">
              <w:rPr>
                <w:rFonts w:eastAsia="標楷體" w:cstheme="minorHAnsi"/>
                <w:szCs w:val="24"/>
              </w:rPr>
              <w:t>basis. For example, 10 μg/day may be acceptable in cases where the life expectancy of the</w:t>
            </w:r>
            <w:r w:rsidRPr="00B55920">
              <w:rPr>
                <w:rFonts w:eastAsia="標楷體" w:cstheme="minorHAnsi" w:hint="eastAsia"/>
                <w:szCs w:val="24"/>
              </w:rPr>
              <w:t xml:space="preserve"> </w:t>
            </w:r>
            <w:r w:rsidRPr="00B55920">
              <w:rPr>
                <w:rFonts w:eastAsia="標楷體" w:cstheme="minorHAnsi"/>
                <w:szCs w:val="24"/>
              </w:rPr>
              <w:t>patient may be limited e.g., severe Alzheimer’s disease, even though the drug use could</w:t>
            </w:r>
            <w:r w:rsidRPr="00B55920">
              <w:rPr>
                <w:rFonts w:eastAsia="標楷體" w:cstheme="minorHAnsi" w:hint="eastAsia"/>
                <w:szCs w:val="24"/>
              </w:rPr>
              <w:t xml:space="preserve"> </w:t>
            </w:r>
            <w:r w:rsidRPr="00B55920">
              <w:rPr>
                <w:rFonts w:eastAsia="標楷體" w:cstheme="minorHAnsi"/>
                <w:szCs w:val="24"/>
              </w:rPr>
              <w:t>exceed 10 year duration.</w:t>
            </w:r>
          </w:p>
          <w:p w:rsidR="00784D6E" w:rsidRPr="00B55920" w:rsidRDefault="00784D6E" w:rsidP="00784D6E">
            <w:pPr>
              <w:autoSpaceDE w:val="0"/>
              <w:autoSpaceDN w:val="0"/>
              <w:adjustRightInd w:val="0"/>
              <w:rPr>
                <w:rFonts w:ascii="CIDFont+F1" w:hAnsi="CIDFont+F1" w:cs="CIDFont+F1"/>
                <w:kern w:val="0"/>
                <w:szCs w:val="24"/>
              </w:rPr>
            </w:pPr>
            <w:r w:rsidRPr="00B55920">
              <w:rPr>
                <w:rFonts w:ascii="CIDFont+F1" w:hAnsi="CIDFont+F1" w:cs="CIDFont+F1"/>
                <w:kern w:val="0"/>
                <w:szCs w:val="24"/>
                <w:vertAlign w:val="superscript"/>
              </w:rPr>
              <w:t>2</w:t>
            </w:r>
            <w:r w:rsidRPr="00B55920">
              <w:rPr>
                <w:rFonts w:ascii="CIDFont+F1" w:hAnsi="CIDFont+F1" w:cs="CIDFont+F1"/>
                <w:kern w:val="0"/>
                <w:szCs w:val="24"/>
              </w:rPr>
              <w:t xml:space="preserve"> </w:t>
            </w:r>
            <w:r w:rsidRPr="00B55920">
              <w:rPr>
                <w:rFonts w:ascii="CIDFont+F1" w:hAnsi="CIDFont+F1" w:cs="CIDFont+F1" w:hint="eastAsia"/>
                <w:kern w:val="0"/>
                <w:szCs w:val="24"/>
              </w:rPr>
              <w:t xml:space="preserve"> </w:t>
            </w:r>
            <w:r w:rsidRPr="00B55920">
              <w:rPr>
                <w:rFonts w:ascii="CIDFont+F1" w:hAnsi="CIDFont+F1" w:cs="CIDFont+F1"/>
                <w:kern w:val="0"/>
                <w:szCs w:val="24"/>
              </w:rPr>
              <w:t>Intermittent use over a period &gt;10 years but based on calculated cumulative dose it falls</w:t>
            </w:r>
            <w:r w:rsidRPr="00B55920">
              <w:rPr>
                <w:rFonts w:ascii="CIDFont+F1" w:hAnsi="CIDFont+F1" w:cs="CIDFont+F1" w:hint="eastAsia"/>
                <w:kern w:val="0"/>
                <w:szCs w:val="24"/>
              </w:rPr>
              <w:t xml:space="preserve"> </w:t>
            </w:r>
            <w:r w:rsidRPr="00B55920">
              <w:rPr>
                <w:rFonts w:ascii="CIDFont+F1" w:hAnsi="CIDFont+F1" w:cs="CIDFont+F1"/>
                <w:kern w:val="0"/>
                <w:szCs w:val="24"/>
              </w:rPr>
              <w:t>under the &gt;1-10 year category.</w:t>
            </w:r>
          </w:p>
          <w:p w:rsidR="00784D6E" w:rsidRPr="00B55920" w:rsidRDefault="00784D6E" w:rsidP="007E1A82">
            <w:pPr>
              <w:autoSpaceDE w:val="0"/>
              <w:autoSpaceDN w:val="0"/>
              <w:adjustRightInd w:val="0"/>
              <w:rPr>
                <w:rFonts w:eastAsia="標楷體" w:cstheme="minorHAnsi"/>
                <w:szCs w:val="24"/>
              </w:rPr>
            </w:pPr>
            <w:r w:rsidRPr="00B55920">
              <w:rPr>
                <w:rFonts w:ascii="CIDFont+F1" w:hAnsi="CIDFont+F1" w:cs="CIDFont+F1"/>
                <w:color w:val="000000"/>
                <w:kern w:val="0"/>
                <w:szCs w:val="24"/>
                <w:vertAlign w:val="superscript"/>
              </w:rPr>
              <w:t>3</w:t>
            </w:r>
            <w:r w:rsidRPr="00B55920">
              <w:rPr>
                <w:rFonts w:ascii="CIDFont+F1" w:hAnsi="CIDFont+F1" w:cs="CIDFont+F1"/>
                <w:color w:val="000000"/>
                <w:kern w:val="0"/>
                <w:szCs w:val="24"/>
              </w:rPr>
              <w:t xml:space="preserve"> </w:t>
            </w:r>
            <w:r w:rsidRPr="00B55920">
              <w:rPr>
                <w:rFonts w:ascii="CIDFont+F1" w:hAnsi="CIDFont+F1" w:cs="CIDFont+F1"/>
                <w:strike/>
                <w:color w:val="0070C0"/>
                <w:kern w:val="0"/>
                <w:szCs w:val="24"/>
              </w:rPr>
              <w:t>HIV is considered a chronic indication but resistance develops to the drugs after 5-10 years</w:t>
            </w:r>
            <w:r w:rsidR="007E1A82" w:rsidRPr="00B55920">
              <w:rPr>
                <w:rFonts w:ascii="CIDFont+F1" w:hAnsi="CIDFont+F1" w:cs="CIDFont+F1" w:hint="eastAsia"/>
                <w:strike/>
                <w:color w:val="0070C0"/>
                <w:kern w:val="0"/>
                <w:szCs w:val="24"/>
              </w:rPr>
              <w:t xml:space="preserve"> </w:t>
            </w:r>
            <w:r w:rsidRPr="00B55920">
              <w:rPr>
                <w:rFonts w:ascii="CIDFont+F1" w:hAnsi="CIDFont+F1" w:cs="CIDFont+F1"/>
                <w:strike/>
                <w:color w:val="0070C0"/>
                <w:kern w:val="0"/>
                <w:szCs w:val="24"/>
              </w:rPr>
              <w:t>and the therapy is changed to other HIV drugs</w:t>
            </w:r>
            <w:r w:rsidRPr="00B55920">
              <w:rPr>
                <w:rFonts w:ascii="CIDFont+F1" w:hAnsi="CIDFont+F1" w:cs="CIDFont+F1"/>
                <w:color w:val="0070C0"/>
                <w:kern w:val="0"/>
                <w:szCs w:val="24"/>
              </w:rPr>
              <w:t>. Changed in M7(R2) from 1-10 years to</w:t>
            </w:r>
            <w:r w:rsidR="007E1A82" w:rsidRPr="00B55920">
              <w:rPr>
                <w:rFonts w:ascii="CIDFont+F1" w:hAnsi="CIDFont+F1" w:cs="CIDFont+F1" w:hint="eastAsia"/>
                <w:color w:val="0070C0"/>
                <w:kern w:val="0"/>
                <w:szCs w:val="24"/>
              </w:rPr>
              <w:t xml:space="preserve"> </w:t>
            </w:r>
            <w:r w:rsidRPr="00B55920">
              <w:rPr>
                <w:rFonts w:ascii="CIDFont+F1" w:hAnsi="CIDFont+F1" w:cs="CIDFont+F1"/>
                <w:color w:val="0070C0"/>
                <w:kern w:val="0"/>
                <w:szCs w:val="24"/>
              </w:rPr>
              <w:t>lifetime because of clinical treatment advances. See Q&amp;A.</w:t>
            </w:r>
          </w:p>
        </w:tc>
        <w:tc>
          <w:tcPr>
            <w:tcW w:w="970" w:type="pct"/>
          </w:tcPr>
          <w:p w:rsidR="00784D6E" w:rsidRPr="00B55920" w:rsidRDefault="00784D6E" w:rsidP="00784D6E">
            <w:pPr>
              <w:snapToGrid w:val="0"/>
              <w:spacing w:afterLines="50" w:after="180" w:line="0" w:lineRule="atLeast"/>
              <w:contextualSpacing/>
              <w:rPr>
                <w:rFonts w:eastAsia="標楷體" w:cstheme="minorHAnsi"/>
                <w:szCs w:val="24"/>
              </w:rPr>
            </w:pPr>
          </w:p>
        </w:tc>
      </w:tr>
    </w:tbl>
    <w:p w:rsidR="00500945" w:rsidRDefault="00500945">
      <w:pPr>
        <w:rPr>
          <w:rFonts w:hint="eastAsia"/>
        </w:rPr>
      </w:pPr>
    </w:p>
    <w:sectPr w:rsidR="00500945" w:rsidSect="00D56EE3">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77D" w:rsidRDefault="00D5077D" w:rsidP="00CA6E35">
      <w:r>
        <w:separator/>
      </w:r>
    </w:p>
  </w:endnote>
  <w:endnote w:type="continuationSeparator" w:id="0">
    <w:p w:rsidR="00D5077D" w:rsidRDefault="00D5077D" w:rsidP="00CA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CIDFont+F4">
    <w:altName w:val="Arial Unicode MS"/>
    <w:panose1 w:val="00000000000000000000"/>
    <w:charset w:val="88"/>
    <w:family w:val="auto"/>
    <w:notTrueType/>
    <w:pitch w:val="default"/>
    <w:sig w:usb0="00000001" w:usb1="08080000" w:usb2="00000010" w:usb3="00000000" w:csb0="00100000" w:csb1="00000000"/>
  </w:font>
  <w:font w:name="CIDFont+F1">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77D" w:rsidRDefault="00D5077D" w:rsidP="00CA6E35">
      <w:r>
        <w:separator/>
      </w:r>
    </w:p>
  </w:footnote>
  <w:footnote w:type="continuationSeparator" w:id="0">
    <w:p w:rsidR="00D5077D" w:rsidRDefault="00D5077D" w:rsidP="00CA6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D25D94"/>
    <w:multiLevelType w:val="hybridMultilevel"/>
    <w:tmpl w:val="BA44E5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86AB2"/>
    <w:multiLevelType w:val="hybridMultilevel"/>
    <w:tmpl w:val="D89C5D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7145A"/>
    <w:multiLevelType w:val="hybridMultilevel"/>
    <w:tmpl w:val="DC460D20"/>
    <w:lvl w:ilvl="0" w:tplc="301E6D1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56E768A"/>
    <w:multiLevelType w:val="hybridMultilevel"/>
    <w:tmpl w:val="BD12E9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35012C"/>
    <w:multiLevelType w:val="hybridMultilevel"/>
    <w:tmpl w:val="78363FC2"/>
    <w:lvl w:ilvl="0" w:tplc="0409000F">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B74FC0"/>
    <w:multiLevelType w:val="hybridMultilevel"/>
    <w:tmpl w:val="5ADE48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9DF6ABC"/>
    <w:multiLevelType w:val="hybridMultilevel"/>
    <w:tmpl w:val="71E85F4E"/>
    <w:lvl w:ilvl="0" w:tplc="DB3067C2">
      <w:start w:val="1"/>
      <w:numFmt w:val="lowerLetter"/>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2E22A7"/>
    <w:multiLevelType w:val="hybridMultilevel"/>
    <w:tmpl w:val="18B437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BC706F2"/>
    <w:multiLevelType w:val="hybridMultilevel"/>
    <w:tmpl w:val="585085CA"/>
    <w:lvl w:ilvl="0" w:tplc="301E6D1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0E1441C5"/>
    <w:multiLevelType w:val="hybridMultilevel"/>
    <w:tmpl w:val="C1D0EA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716A8B"/>
    <w:multiLevelType w:val="hybridMultilevel"/>
    <w:tmpl w:val="A59E162E"/>
    <w:lvl w:ilvl="0" w:tplc="669E17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C624CA"/>
    <w:multiLevelType w:val="hybridMultilevel"/>
    <w:tmpl w:val="09BCCD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DC6480"/>
    <w:multiLevelType w:val="hybridMultilevel"/>
    <w:tmpl w:val="838AC8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201DF4"/>
    <w:multiLevelType w:val="hybridMultilevel"/>
    <w:tmpl w:val="2904CAB2"/>
    <w:lvl w:ilvl="0" w:tplc="E8D030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7784EEE"/>
    <w:multiLevelType w:val="hybridMultilevel"/>
    <w:tmpl w:val="78363FC2"/>
    <w:lvl w:ilvl="0" w:tplc="0409000F">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086F81"/>
    <w:multiLevelType w:val="hybridMultilevel"/>
    <w:tmpl w:val="CC18609A"/>
    <w:lvl w:ilvl="0" w:tplc="301E6D1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AC84744"/>
    <w:multiLevelType w:val="hybridMultilevel"/>
    <w:tmpl w:val="5D6E9886"/>
    <w:lvl w:ilvl="0" w:tplc="301E6D1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D0B0F59"/>
    <w:multiLevelType w:val="hybridMultilevel"/>
    <w:tmpl w:val="17FED364"/>
    <w:lvl w:ilvl="0" w:tplc="301E6D16">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D9413D1"/>
    <w:multiLevelType w:val="hybridMultilevel"/>
    <w:tmpl w:val="E7A8CA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F0A256B"/>
    <w:multiLevelType w:val="hybridMultilevel"/>
    <w:tmpl w:val="95D208C2"/>
    <w:lvl w:ilvl="0" w:tplc="2486B3C8">
      <w:numFmt w:val="bullet"/>
      <w:lvlText w:val=""/>
      <w:lvlJc w:val="left"/>
      <w:pPr>
        <w:ind w:left="360" w:hanging="360"/>
      </w:pPr>
      <w:rPr>
        <w:rFonts w:ascii="標楷體" w:eastAsia="標楷體" w:hAnsi="標楷體" w:cstheme="minorHAns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81A3F0F"/>
    <w:multiLevelType w:val="hybridMultilevel"/>
    <w:tmpl w:val="58BA4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9E10316"/>
    <w:multiLevelType w:val="hybridMultilevel"/>
    <w:tmpl w:val="3CA26D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C9063B3"/>
    <w:multiLevelType w:val="hybridMultilevel"/>
    <w:tmpl w:val="42484D78"/>
    <w:lvl w:ilvl="0" w:tplc="301E6D1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5060630"/>
    <w:multiLevelType w:val="hybridMultilevel"/>
    <w:tmpl w:val="01042EA8"/>
    <w:lvl w:ilvl="0" w:tplc="DB3067C2">
      <w:start w:val="1"/>
      <w:numFmt w:val="lowerLetter"/>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556D6BF2"/>
    <w:multiLevelType w:val="hybridMultilevel"/>
    <w:tmpl w:val="F48AE8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22903F2"/>
    <w:multiLevelType w:val="hybridMultilevel"/>
    <w:tmpl w:val="2BF813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774747"/>
    <w:multiLevelType w:val="hybridMultilevel"/>
    <w:tmpl w:val="01042EA8"/>
    <w:lvl w:ilvl="0" w:tplc="DB3067C2">
      <w:start w:val="1"/>
      <w:numFmt w:val="lowerLetter"/>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72127F22"/>
    <w:multiLevelType w:val="hybridMultilevel"/>
    <w:tmpl w:val="1ED2C9A2"/>
    <w:lvl w:ilvl="0" w:tplc="301E6D1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E1008C2"/>
    <w:multiLevelType w:val="hybridMultilevel"/>
    <w:tmpl w:val="E50E0656"/>
    <w:lvl w:ilvl="0" w:tplc="301E6D1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3"/>
  </w:num>
  <w:num w:numId="2">
    <w:abstractNumId w:val="18"/>
  </w:num>
  <w:num w:numId="3">
    <w:abstractNumId w:val="12"/>
  </w:num>
  <w:num w:numId="4">
    <w:abstractNumId w:val="4"/>
  </w:num>
  <w:num w:numId="5">
    <w:abstractNumId w:val="14"/>
  </w:num>
  <w:num w:numId="6">
    <w:abstractNumId w:val="24"/>
  </w:num>
  <w:num w:numId="7">
    <w:abstractNumId w:val="6"/>
  </w:num>
  <w:num w:numId="8">
    <w:abstractNumId w:val="26"/>
  </w:num>
  <w:num w:numId="9">
    <w:abstractNumId w:val="23"/>
  </w:num>
  <w:num w:numId="10">
    <w:abstractNumId w:val="25"/>
  </w:num>
  <w:num w:numId="11">
    <w:abstractNumId w:val="11"/>
  </w:num>
  <w:num w:numId="12">
    <w:abstractNumId w:val="5"/>
  </w:num>
  <w:num w:numId="13">
    <w:abstractNumId w:val="21"/>
  </w:num>
  <w:num w:numId="14">
    <w:abstractNumId w:val="16"/>
  </w:num>
  <w:num w:numId="15">
    <w:abstractNumId w:val="2"/>
  </w:num>
  <w:num w:numId="16">
    <w:abstractNumId w:val="27"/>
  </w:num>
  <w:num w:numId="17">
    <w:abstractNumId w:val="1"/>
  </w:num>
  <w:num w:numId="18">
    <w:abstractNumId w:val="0"/>
  </w:num>
  <w:num w:numId="19">
    <w:abstractNumId w:val="28"/>
  </w:num>
  <w:num w:numId="20">
    <w:abstractNumId w:val="3"/>
  </w:num>
  <w:num w:numId="21">
    <w:abstractNumId w:val="10"/>
  </w:num>
  <w:num w:numId="22">
    <w:abstractNumId w:val="22"/>
  </w:num>
  <w:num w:numId="23">
    <w:abstractNumId w:val="19"/>
  </w:num>
  <w:num w:numId="24">
    <w:abstractNumId w:val="7"/>
  </w:num>
  <w:num w:numId="25">
    <w:abstractNumId w:val="20"/>
  </w:num>
  <w:num w:numId="26">
    <w:abstractNumId w:val="9"/>
  </w:num>
  <w:num w:numId="27">
    <w:abstractNumId w:val="17"/>
  </w:num>
  <w:num w:numId="28">
    <w:abstractNumId w:val="1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EE3"/>
    <w:rsid w:val="00005370"/>
    <w:rsid w:val="00013CCB"/>
    <w:rsid w:val="0001585F"/>
    <w:rsid w:val="00015C09"/>
    <w:rsid w:val="00040C7B"/>
    <w:rsid w:val="000660E2"/>
    <w:rsid w:val="00075C8F"/>
    <w:rsid w:val="000807B6"/>
    <w:rsid w:val="000A7C6D"/>
    <w:rsid w:val="000B023C"/>
    <w:rsid w:val="000B1E82"/>
    <w:rsid w:val="000B2132"/>
    <w:rsid w:val="000C7FE2"/>
    <w:rsid w:val="00117962"/>
    <w:rsid w:val="00134701"/>
    <w:rsid w:val="00136427"/>
    <w:rsid w:val="001542FF"/>
    <w:rsid w:val="00194FFD"/>
    <w:rsid w:val="001C1AA1"/>
    <w:rsid w:val="00224150"/>
    <w:rsid w:val="00247FAB"/>
    <w:rsid w:val="002646F9"/>
    <w:rsid w:val="002A40CB"/>
    <w:rsid w:val="002B41D5"/>
    <w:rsid w:val="002F6B5D"/>
    <w:rsid w:val="0030570F"/>
    <w:rsid w:val="00350CC3"/>
    <w:rsid w:val="00364080"/>
    <w:rsid w:val="003664D3"/>
    <w:rsid w:val="0036690A"/>
    <w:rsid w:val="003778E5"/>
    <w:rsid w:val="003D1B24"/>
    <w:rsid w:val="003D2351"/>
    <w:rsid w:val="003E6862"/>
    <w:rsid w:val="00444A4F"/>
    <w:rsid w:val="00456A60"/>
    <w:rsid w:val="004641C2"/>
    <w:rsid w:val="00473651"/>
    <w:rsid w:val="004969F2"/>
    <w:rsid w:val="004B270C"/>
    <w:rsid w:val="004B763B"/>
    <w:rsid w:val="004C6500"/>
    <w:rsid w:val="0050000F"/>
    <w:rsid w:val="00500945"/>
    <w:rsid w:val="005133FF"/>
    <w:rsid w:val="0056082A"/>
    <w:rsid w:val="005A33F9"/>
    <w:rsid w:val="005B65AE"/>
    <w:rsid w:val="005D7B1E"/>
    <w:rsid w:val="005F50B8"/>
    <w:rsid w:val="00606FCD"/>
    <w:rsid w:val="00630241"/>
    <w:rsid w:val="00646887"/>
    <w:rsid w:val="00676F90"/>
    <w:rsid w:val="00714A8A"/>
    <w:rsid w:val="007224A8"/>
    <w:rsid w:val="007227D4"/>
    <w:rsid w:val="00731C6C"/>
    <w:rsid w:val="00744F5D"/>
    <w:rsid w:val="00784D6E"/>
    <w:rsid w:val="007A553D"/>
    <w:rsid w:val="007B5696"/>
    <w:rsid w:val="007C43AF"/>
    <w:rsid w:val="007C5275"/>
    <w:rsid w:val="007D3F74"/>
    <w:rsid w:val="007D559B"/>
    <w:rsid w:val="007E1A82"/>
    <w:rsid w:val="007F661A"/>
    <w:rsid w:val="00813961"/>
    <w:rsid w:val="008328AF"/>
    <w:rsid w:val="008532E0"/>
    <w:rsid w:val="00860712"/>
    <w:rsid w:val="00861217"/>
    <w:rsid w:val="008A59C8"/>
    <w:rsid w:val="008B3D2F"/>
    <w:rsid w:val="008F0D74"/>
    <w:rsid w:val="008F3548"/>
    <w:rsid w:val="00901C7B"/>
    <w:rsid w:val="00920785"/>
    <w:rsid w:val="00921AC5"/>
    <w:rsid w:val="00984A7D"/>
    <w:rsid w:val="009F2CFD"/>
    <w:rsid w:val="00A21AA8"/>
    <w:rsid w:val="00A322E9"/>
    <w:rsid w:val="00A54E91"/>
    <w:rsid w:val="00A552BD"/>
    <w:rsid w:val="00A6027A"/>
    <w:rsid w:val="00A663E5"/>
    <w:rsid w:val="00A8754D"/>
    <w:rsid w:val="00A913DE"/>
    <w:rsid w:val="00A94C8B"/>
    <w:rsid w:val="00AA3C16"/>
    <w:rsid w:val="00AA4054"/>
    <w:rsid w:val="00AB08C7"/>
    <w:rsid w:val="00AC6336"/>
    <w:rsid w:val="00AD6AC9"/>
    <w:rsid w:val="00AD7122"/>
    <w:rsid w:val="00AE0530"/>
    <w:rsid w:val="00B21806"/>
    <w:rsid w:val="00B36C2C"/>
    <w:rsid w:val="00B55920"/>
    <w:rsid w:val="00BB5044"/>
    <w:rsid w:val="00BC15C5"/>
    <w:rsid w:val="00BD7AB5"/>
    <w:rsid w:val="00BF0C69"/>
    <w:rsid w:val="00C02D65"/>
    <w:rsid w:val="00C154DB"/>
    <w:rsid w:val="00C36049"/>
    <w:rsid w:val="00C62329"/>
    <w:rsid w:val="00C62AB1"/>
    <w:rsid w:val="00C830E6"/>
    <w:rsid w:val="00CA6E35"/>
    <w:rsid w:val="00CB645D"/>
    <w:rsid w:val="00CD52BD"/>
    <w:rsid w:val="00D104AE"/>
    <w:rsid w:val="00D309E6"/>
    <w:rsid w:val="00D37CD2"/>
    <w:rsid w:val="00D5077D"/>
    <w:rsid w:val="00D56EE3"/>
    <w:rsid w:val="00DD5A5C"/>
    <w:rsid w:val="00DE5861"/>
    <w:rsid w:val="00E209B7"/>
    <w:rsid w:val="00E23537"/>
    <w:rsid w:val="00E80A15"/>
    <w:rsid w:val="00EB6C26"/>
    <w:rsid w:val="00EC2EBE"/>
    <w:rsid w:val="00F56256"/>
    <w:rsid w:val="00F56E53"/>
    <w:rsid w:val="00FA1DB6"/>
    <w:rsid w:val="00FB63CF"/>
    <w:rsid w:val="00FC1CD9"/>
    <w:rsid w:val="00FD05A3"/>
    <w:rsid w:val="00FD33CB"/>
    <w:rsid w:val="00FE6A70"/>
    <w:rsid w:val="00FF4B93"/>
    <w:rsid w:val="00FF6F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55D3B"/>
  <w15:docId w15:val="{41A7066C-496A-47C6-BD42-71D3BE03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6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E35"/>
    <w:pPr>
      <w:tabs>
        <w:tab w:val="center" w:pos="4153"/>
        <w:tab w:val="right" w:pos="8306"/>
      </w:tabs>
      <w:snapToGrid w:val="0"/>
    </w:pPr>
    <w:rPr>
      <w:sz w:val="20"/>
      <w:szCs w:val="20"/>
    </w:rPr>
  </w:style>
  <w:style w:type="character" w:customStyle="1" w:styleId="a5">
    <w:name w:val="頁首 字元"/>
    <w:basedOn w:val="a0"/>
    <w:link w:val="a4"/>
    <w:uiPriority w:val="99"/>
    <w:rsid w:val="00CA6E35"/>
    <w:rPr>
      <w:sz w:val="20"/>
      <w:szCs w:val="20"/>
    </w:rPr>
  </w:style>
  <w:style w:type="paragraph" w:styleId="a6">
    <w:name w:val="footer"/>
    <w:basedOn w:val="a"/>
    <w:link w:val="a7"/>
    <w:uiPriority w:val="99"/>
    <w:unhideWhenUsed/>
    <w:rsid w:val="00CA6E35"/>
    <w:pPr>
      <w:tabs>
        <w:tab w:val="center" w:pos="4153"/>
        <w:tab w:val="right" w:pos="8306"/>
      </w:tabs>
      <w:snapToGrid w:val="0"/>
    </w:pPr>
    <w:rPr>
      <w:sz w:val="20"/>
      <w:szCs w:val="20"/>
    </w:rPr>
  </w:style>
  <w:style w:type="character" w:customStyle="1" w:styleId="a7">
    <w:name w:val="頁尾 字元"/>
    <w:basedOn w:val="a0"/>
    <w:link w:val="a6"/>
    <w:uiPriority w:val="99"/>
    <w:rsid w:val="00CA6E35"/>
    <w:rPr>
      <w:sz w:val="20"/>
      <w:szCs w:val="20"/>
    </w:rPr>
  </w:style>
  <w:style w:type="paragraph" w:styleId="a8">
    <w:name w:val="List Paragraph"/>
    <w:basedOn w:val="a"/>
    <w:uiPriority w:val="34"/>
    <w:qFormat/>
    <w:rsid w:val="00F56256"/>
    <w:pPr>
      <w:ind w:leftChars="200" w:left="480"/>
    </w:pPr>
  </w:style>
  <w:style w:type="paragraph" w:styleId="a9">
    <w:name w:val="Balloon Text"/>
    <w:basedOn w:val="a"/>
    <w:link w:val="aa"/>
    <w:uiPriority w:val="99"/>
    <w:semiHidden/>
    <w:unhideWhenUsed/>
    <w:rsid w:val="007F661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F661A"/>
    <w:rPr>
      <w:rFonts w:asciiTheme="majorHAnsi" w:eastAsiaTheme="majorEastAsia" w:hAnsiTheme="majorHAnsi" w:cstheme="majorBidi"/>
      <w:sz w:val="18"/>
      <w:szCs w:val="18"/>
    </w:rPr>
  </w:style>
  <w:style w:type="paragraph" w:customStyle="1" w:styleId="Default">
    <w:name w:val="Default"/>
    <w:rsid w:val="00CD52BD"/>
    <w:pPr>
      <w:widowControl w:val="0"/>
      <w:autoSpaceDE w:val="0"/>
      <w:autoSpaceDN w:val="0"/>
      <w:adjustRightInd w:val="0"/>
    </w:pPr>
    <w:rPr>
      <w:rFonts w:ascii="Times New Roman" w:hAnsi="Times New Roman" w:cs="Times New Roman"/>
      <w:color w:val="000000"/>
      <w:kern w:val="0"/>
      <w:szCs w:val="24"/>
    </w:rPr>
  </w:style>
  <w:style w:type="character" w:styleId="ab">
    <w:name w:val="Hyperlink"/>
    <w:basedOn w:val="a0"/>
    <w:uiPriority w:val="99"/>
    <w:unhideWhenUsed/>
    <w:rsid w:val="003057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8BAE7-DA03-4801-BD15-8D180DB9E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11</Pages>
  <Words>3693</Words>
  <Characters>21053</Characters>
  <Application>Microsoft Office Word</Application>
  <DocSecurity>0</DocSecurity>
  <Lines>175</Lines>
  <Paragraphs>49</Paragraphs>
  <ScaleCrop>false</ScaleCrop>
  <Company/>
  <LinksUpToDate>false</LinksUpToDate>
  <CharactersWithSpaces>24697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郭奕靚</dc:creator>
  <cp:lastModifiedBy>郭品岑</cp:lastModifiedBy>
  <cp:revision>18</cp:revision>
  <cp:lastPrinted>2020-09-01T05:48:00Z</cp:lastPrinted>
  <dcterms:created xsi:type="dcterms:W3CDTF">2020-09-01T06:14:00Z</dcterms:created>
  <dcterms:modified xsi:type="dcterms:W3CDTF">2020-09-03T09:07:00Z</dcterms:modified>
</cp:coreProperties>
</file>