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63" w:rsidRDefault="009B2F63" w:rsidP="009B2F63">
      <w:pPr>
        <w:jc w:val="center"/>
        <w:rPr>
          <w:rFonts w:ascii="Arial" w:eastAsia="標楷體" w:hAnsi="Arial" w:cs="Arial"/>
          <w:bCs/>
          <w:iCs/>
          <w:sz w:val="28"/>
          <w:szCs w:val="28"/>
        </w:rPr>
      </w:pPr>
      <w:r w:rsidRPr="009B2F63">
        <w:rPr>
          <w:rFonts w:ascii="Arial" w:eastAsia="標楷體" w:hAnsi="Arial" w:cs="Arial" w:hint="eastAsia"/>
          <w:bCs/>
          <w:sz w:val="28"/>
          <w:szCs w:val="28"/>
        </w:rPr>
        <w:t>含</w:t>
      </w:r>
      <w:bookmarkStart w:id="0" w:name="_GoBack"/>
      <w:proofErr w:type="spellStart"/>
      <w:r>
        <w:rPr>
          <w:rFonts w:ascii="Arial" w:eastAsia="標楷體" w:hAnsi="Arial" w:cs="Arial" w:hint="eastAsia"/>
          <w:bCs/>
          <w:sz w:val="28"/>
          <w:szCs w:val="28"/>
        </w:rPr>
        <w:t>benzyl</w:t>
      </w:r>
      <w:r w:rsidRPr="009B2F63">
        <w:rPr>
          <w:rFonts w:ascii="Arial" w:eastAsia="標楷體" w:hAnsi="Arial" w:cs="Arial"/>
          <w:sz w:val="28"/>
          <w:szCs w:val="28"/>
        </w:rPr>
        <w:t>hydrochlorothiazide</w:t>
      </w:r>
      <w:bookmarkEnd w:id="0"/>
      <w:proofErr w:type="spellEnd"/>
      <w:r w:rsidRPr="009B2F63">
        <w:rPr>
          <w:rFonts w:ascii="Arial" w:eastAsia="標楷體" w:hAnsi="Arial" w:cs="Arial" w:hint="eastAsia"/>
          <w:sz w:val="28"/>
          <w:szCs w:val="28"/>
        </w:rPr>
        <w:t>成分藥品</w:t>
      </w:r>
      <w:r w:rsidRPr="009B2F63">
        <w:rPr>
          <w:rFonts w:ascii="Arial" w:eastAsia="標楷體" w:hAnsi="Arial" w:cs="Arial"/>
          <w:bCs/>
          <w:iCs/>
          <w:sz w:val="28"/>
          <w:szCs w:val="28"/>
        </w:rPr>
        <w:t>中文仿單修訂內容</w:t>
      </w:r>
    </w:p>
    <w:p w:rsidR="009B2F63" w:rsidRDefault="009B2F63" w:rsidP="009B2F63">
      <w:pPr>
        <w:rPr>
          <w:rFonts w:ascii="Arial" w:eastAsia="標楷體" w:hAnsi="Arial" w:cs="Arial"/>
          <w:bCs/>
          <w:iCs/>
          <w:sz w:val="28"/>
          <w:szCs w:val="28"/>
        </w:rPr>
      </w:pPr>
      <w:r>
        <w:rPr>
          <w:rFonts w:ascii="新細明體" w:eastAsia="新細明體" w:hAnsi="新細明體" w:cs="Arial" w:hint="eastAsia"/>
          <w:bCs/>
          <w:iCs/>
          <w:sz w:val="28"/>
          <w:szCs w:val="28"/>
        </w:rPr>
        <w:t>「</w:t>
      </w:r>
      <w:r w:rsidRPr="009B2F63">
        <w:rPr>
          <w:rFonts w:ascii="Arial" w:eastAsia="標楷體" w:hAnsi="Arial" w:cs="Arial" w:hint="eastAsia"/>
          <w:b/>
          <w:bCs/>
          <w:iCs/>
          <w:sz w:val="28"/>
          <w:szCs w:val="28"/>
        </w:rPr>
        <w:t>警語與注意事項</w:t>
      </w:r>
      <w:r>
        <w:rPr>
          <w:rFonts w:ascii="新細明體" w:eastAsia="新細明體" w:hAnsi="新細明體" w:cs="Arial" w:hint="eastAsia"/>
          <w:bCs/>
          <w:iCs/>
          <w:sz w:val="28"/>
          <w:szCs w:val="28"/>
        </w:rPr>
        <w:t>」</w:t>
      </w:r>
      <w:r w:rsidR="009A1B69" w:rsidRPr="009A1B69">
        <w:rPr>
          <w:rFonts w:ascii="Arial" w:eastAsia="標楷體" w:hAnsi="Arial" w:cs="Arial" w:hint="eastAsia"/>
          <w:b/>
          <w:bCs/>
          <w:iCs/>
          <w:sz w:val="28"/>
          <w:szCs w:val="28"/>
        </w:rPr>
        <w:t>應包括</w:t>
      </w:r>
      <w:r>
        <w:rPr>
          <w:rFonts w:ascii="Arial" w:eastAsia="標楷體" w:hAnsi="Arial" w:cs="Arial" w:hint="eastAsia"/>
          <w:bCs/>
          <w:iCs/>
          <w:sz w:val="28"/>
          <w:szCs w:val="28"/>
        </w:rPr>
        <w:t>:</w:t>
      </w:r>
    </w:p>
    <w:p w:rsidR="00801F63" w:rsidRDefault="00801F63" w:rsidP="00801F63">
      <w:pPr>
        <w:pStyle w:val="a3"/>
        <w:numPr>
          <w:ilvl w:val="0"/>
          <w:numId w:val="3"/>
        </w:numPr>
        <w:tabs>
          <w:tab w:val="left" w:pos="567"/>
        </w:tabs>
        <w:ind w:leftChars="0"/>
        <w:rPr>
          <w:rFonts w:ascii="Arial" w:eastAsia="標楷體" w:hAnsi="Arial" w:cs="Arial"/>
          <w:sz w:val="28"/>
          <w:szCs w:val="28"/>
        </w:rPr>
      </w:pPr>
      <w:r w:rsidRPr="00801F63">
        <w:rPr>
          <w:rFonts w:ascii="Arial" w:eastAsia="標楷體" w:hAnsi="Arial" w:cs="Arial" w:hint="eastAsia"/>
          <w:b/>
          <w:sz w:val="28"/>
          <w:szCs w:val="28"/>
        </w:rPr>
        <w:t>光過敏</w:t>
      </w:r>
      <w:r>
        <w:rPr>
          <w:rFonts w:ascii="Arial" w:eastAsia="標楷體" w:hAnsi="Arial" w:cs="Arial" w:hint="eastAsia"/>
          <w:sz w:val="28"/>
          <w:szCs w:val="28"/>
        </w:rPr>
        <w:t>:</w:t>
      </w:r>
    </w:p>
    <w:p w:rsidR="009B2F63" w:rsidRDefault="009B2F63" w:rsidP="00801F63">
      <w:pPr>
        <w:pStyle w:val="a3"/>
        <w:ind w:leftChars="0" w:left="567"/>
        <w:rPr>
          <w:rFonts w:ascii="Arial" w:eastAsia="標楷體" w:hAnsi="Arial" w:cs="Arial"/>
          <w:sz w:val="28"/>
          <w:szCs w:val="28"/>
        </w:rPr>
      </w:pPr>
      <w:r w:rsidRPr="009B2F63">
        <w:rPr>
          <w:rFonts w:ascii="Arial" w:eastAsia="標楷體" w:hAnsi="Arial" w:cs="Arial" w:hint="eastAsia"/>
          <w:sz w:val="28"/>
          <w:szCs w:val="28"/>
        </w:rPr>
        <w:t>曾有使用</w:t>
      </w:r>
      <w:r w:rsidR="009A1B69" w:rsidRPr="00801F63">
        <w:rPr>
          <w:rFonts w:ascii="Arial" w:eastAsia="標楷體" w:hAnsi="Arial" w:cs="Arial" w:hint="eastAsia"/>
          <w:sz w:val="28"/>
          <w:szCs w:val="28"/>
        </w:rPr>
        <w:t>thiazid</w:t>
      </w:r>
      <w:r w:rsidR="009A1B69">
        <w:rPr>
          <w:rFonts w:ascii="Arial" w:eastAsia="標楷體" w:hAnsi="Arial" w:cs="Arial" w:hint="eastAsia"/>
          <w:sz w:val="28"/>
          <w:szCs w:val="28"/>
        </w:rPr>
        <w:t>e</w:t>
      </w:r>
      <w:r w:rsidR="009A1B69">
        <w:rPr>
          <w:rFonts w:ascii="Arial" w:eastAsia="標楷體" w:hAnsi="Arial" w:cs="Arial" w:hint="eastAsia"/>
          <w:sz w:val="28"/>
          <w:szCs w:val="28"/>
        </w:rPr>
        <w:t>類</w:t>
      </w:r>
      <w:r w:rsidRPr="009B2F63">
        <w:rPr>
          <w:rFonts w:ascii="Arial" w:eastAsia="標楷體" w:hAnsi="Arial" w:cs="Arial" w:hint="eastAsia"/>
          <w:sz w:val="28"/>
          <w:szCs w:val="28"/>
        </w:rPr>
        <w:t>利尿劑而發生外露部位皮膚紅疹</w:t>
      </w:r>
      <w:r w:rsidRPr="009B2F63">
        <w:rPr>
          <w:rFonts w:ascii="Arial" w:eastAsia="標楷體" w:hAnsi="Arial" w:cs="Arial" w:hint="eastAsia"/>
          <w:sz w:val="28"/>
          <w:szCs w:val="28"/>
        </w:rPr>
        <w:t>(</w:t>
      </w:r>
      <w:r w:rsidRPr="009B2F63">
        <w:rPr>
          <w:rFonts w:ascii="Arial" w:eastAsia="標楷體" w:hAnsi="Arial" w:cs="Arial" w:hint="eastAsia"/>
          <w:sz w:val="28"/>
          <w:szCs w:val="28"/>
        </w:rPr>
        <w:t>光線敏感症</w:t>
      </w:r>
      <w:r w:rsidRPr="009B2F63">
        <w:rPr>
          <w:rFonts w:ascii="Arial" w:eastAsia="標楷體" w:hAnsi="Arial" w:cs="Arial" w:hint="eastAsia"/>
          <w:sz w:val="28"/>
          <w:szCs w:val="28"/>
        </w:rPr>
        <w:t>)</w:t>
      </w:r>
      <w:r w:rsidRPr="009B2F63">
        <w:rPr>
          <w:rFonts w:ascii="Arial" w:eastAsia="標楷體" w:hAnsi="Arial" w:cs="Arial" w:hint="eastAsia"/>
          <w:sz w:val="28"/>
          <w:szCs w:val="28"/>
        </w:rPr>
        <w:t>的案例。如果發生光線敏感症，建議停止治療。如果再次投藥是必要的，建議保護陽光或人工輻射曝曬的部位。</w:t>
      </w:r>
    </w:p>
    <w:p w:rsidR="00801F63" w:rsidRPr="00801F63" w:rsidRDefault="00801F63" w:rsidP="00801F63">
      <w:pPr>
        <w:pStyle w:val="a3"/>
        <w:numPr>
          <w:ilvl w:val="0"/>
          <w:numId w:val="3"/>
        </w:numPr>
        <w:ind w:leftChars="0" w:left="567" w:hanging="567"/>
        <w:rPr>
          <w:rFonts w:ascii="Arial" w:eastAsia="標楷體" w:hAnsi="Arial" w:cs="Arial"/>
          <w:sz w:val="28"/>
          <w:szCs w:val="28"/>
        </w:rPr>
      </w:pPr>
      <w:r w:rsidRPr="00801F63">
        <w:rPr>
          <w:rFonts w:ascii="Arial" w:eastAsia="標楷體" w:hAnsi="Arial" w:cs="Arial"/>
          <w:b/>
          <w:sz w:val="28"/>
          <w:szCs w:val="28"/>
        </w:rPr>
        <w:t>非黑色素細胞惡性皮膚腫瘤（</w:t>
      </w:r>
      <w:r w:rsidRPr="00801F63">
        <w:rPr>
          <w:rFonts w:ascii="Arial" w:eastAsia="標楷體" w:hAnsi="Arial" w:cs="Arial"/>
          <w:b/>
          <w:sz w:val="28"/>
          <w:szCs w:val="28"/>
        </w:rPr>
        <w:t>non-melanocytic skin malignancies</w:t>
      </w:r>
      <w:r w:rsidRPr="00801F63">
        <w:rPr>
          <w:rFonts w:ascii="Arial" w:eastAsia="標楷體" w:hAnsi="Arial" w:cs="Arial" w:hint="eastAsia"/>
          <w:b/>
          <w:sz w:val="28"/>
          <w:szCs w:val="28"/>
        </w:rPr>
        <w:t xml:space="preserve">, </w:t>
      </w:r>
      <w:r w:rsidRPr="00801F63">
        <w:rPr>
          <w:rFonts w:ascii="Arial" w:eastAsia="標楷體" w:hAnsi="Arial" w:cs="Arial"/>
          <w:b/>
          <w:sz w:val="28"/>
          <w:szCs w:val="28"/>
        </w:rPr>
        <w:t>NMSC</w:t>
      </w:r>
      <w:r w:rsidRPr="00801F63">
        <w:rPr>
          <w:rFonts w:ascii="Arial" w:eastAsia="標楷體" w:hAnsi="Arial" w:cs="Arial"/>
          <w:b/>
          <w:sz w:val="28"/>
          <w:szCs w:val="28"/>
        </w:rPr>
        <w:t>）</w:t>
      </w:r>
      <w:r>
        <w:rPr>
          <w:rFonts w:ascii="Arial" w:eastAsia="標楷體" w:hAnsi="Arial" w:cs="Arial" w:hint="eastAsia"/>
          <w:kern w:val="0"/>
          <w:sz w:val="28"/>
          <w:szCs w:val="28"/>
        </w:rPr>
        <w:t>:</w:t>
      </w:r>
    </w:p>
    <w:p w:rsidR="009B2F63" w:rsidRPr="009B2F63" w:rsidRDefault="009B2F63" w:rsidP="00801F63">
      <w:pPr>
        <w:pStyle w:val="a3"/>
        <w:ind w:leftChars="0" w:left="567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研究發現</w:t>
      </w:r>
      <w:proofErr w:type="gramStart"/>
      <w:r>
        <w:rPr>
          <w:rFonts w:ascii="Arial" w:eastAsia="標楷體" w:hAnsi="Arial" w:cs="Arial" w:hint="eastAsia"/>
          <w:sz w:val="28"/>
          <w:szCs w:val="28"/>
        </w:rPr>
        <w:t>與本品結構</w:t>
      </w:r>
      <w:proofErr w:type="gramEnd"/>
      <w:r>
        <w:rPr>
          <w:rFonts w:ascii="Arial" w:eastAsia="標楷體" w:hAnsi="Arial" w:cs="Arial" w:hint="eastAsia"/>
          <w:sz w:val="28"/>
          <w:szCs w:val="28"/>
        </w:rPr>
        <w:t>相似的</w:t>
      </w:r>
      <w:r w:rsidRPr="009B2F63">
        <w:rPr>
          <w:rFonts w:ascii="Arial" w:eastAsia="標楷體" w:hAnsi="Arial" w:cs="Arial"/>
          <w:sz w:val="28"/>
          <w:szCs w:val="28"/>
        </w:rPr>
        <w:t>hydrochlorothiazide</w:t>
      </w:r>
      <w:r w:rsidRPr="009B2F63">
        <w:rPr>
          <w:rFonts w:ascii="Arial" w:eastAsia="標楷體" w:hAnsi="Arial" w:cs="Arial"/>
          <w:sz w:val="28"/>
          <w:szCs w:val="28"/>
        </w:rPr>
        <w:t>（</w:t>
      </w:r>
      <w:r w:rsidRPr="009B2F63">
        <w:rPr>
          <w:rFonts w:ascii="Arial" w:eastAsia="標楷體" w:hAnsi="Arial" w:cs="Arial"/>
          <w:sz w:val="28"/>
          <w:szCs w:val="28"/>
        </w:rPr>
        <w:t>HCTZ</w:t>
      </w:r>
      <w:r w:rsidRPr="009B2F63">
        <w:rPr>
          <w:rFonts w:ascii="Arial" w:eastAsia="標楷體" w:hAnsi="Arial" w:cs="Arial"/>
          <w:sz w:val="28"/>
          <w:szCs w:val="28"/>
        </w:rPr>
        <w:t>）與非黑色素細胞惡性皮膚腫瘤（</w:t>
      </w:r>
      <w:r w:rsidRPr="009B2F63">
        <w:rPr>
          <w:rFonts w:ascii="Arial" w:eastAsia="標楷體" w:hAnsi="Arial" w:cs="Arial"/>
          <w:sz w:val="28"/>
          <w:szCs w:val="28"/>
        </w:rPr>
        <w:t>non-melanocytic skin malignancies</w:t>
      </w:r>
      <w:r w:rsidRPr="009B2F63">
        <w:rPr>
          <w:rFonts w:ascii="Arial" w:eastAsia="標楷體" w:hAnsi="Arial" w:cs="Arial" w:hint="eastAsia"/>
          <w:sz w:val="28"/>
          <w:szCs w:val="28"/>
        </w:rPr>
        <w:t xml:space="preserve">, </w:t>
      </w:r>
      <w:r w:rsidRPr="009B2F63">
        <w:rPr>
          <w:rFonts w:ascii="Arial" w:eastAsia="標楷體" w:hAnsi="Arial" w:cs="Arial"/>
          <w:sz w:val="28"/>
          <w:szCs w:val="28"/>
        </w:rPr>
        <w:t>NMSC</w:t>
      </w:r>
      <w:r w:rsidRPr="009B2F63">
        <w:rPr>
          <w:rFonts w:ascii="Arial" w:eastAsia="標楷體" w:hAnsi="Arial" w:cs="Arial"/>
          <w:sz w:val="28"/>
          <w:szCs w:val="28"/>
        </w:rPr>
        <w:t>）之間存在有具累積劑量依存性的關聯性</w:t>
      </w:r>
      <w:r>
        <w:rPr>
          <w:rFonts w:ascii="Arial" w:eastAsia="標楷體" w:hAnsi="Arial" w:cs="Arial" w:hint="eastAsia"/>
          <w:sz w:val="28"/>
          <w:szCs w:val="28"/>
        </w:rPr>
        <w:t>，藥物的光敏感極可能是潛在作用機轉。因此處方本藥品時應告知病人相關風險。若發現可疑皮膚病，建議告知您的處方醫師，必要時請皮膚科醫師檢查。</w:t>
      </w:r>
    </w:p>
    <w:p w:rsidR="009B2F63" w:rsidRPr="00812F89" w:rsidRDefault="009B2F63" w:rsidP="00812F89">
      <w:pPr>
        <w:widowControl/>
        <w:rPr>
          <w:rFonts w:ascii="Arial" w:eastAsia="標楷體" w:hAnsi="Arial" w:cs="Arial"/>
          <w:sz w:val="28"/>
          <w:szCs w:val="28"/>
        </w:rPr>
      </w:pPr>
    </w:p>
    <w:sectPr w:rsidR="009B2F63" w:rsidRPr="00812F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D86" w:rsidRDefault="00ED2D86" w:rsidP="009A1B69">
      <w:r>
        <w:separator/>
      </w:r>
    </w:p>
  </w:endnote>
  <w:endnote w:type="continuationSeparator" w:id="0">
    <w:p w:rsidR="00ED2D86" w:rsidRDefault="00ED2D86" w:rsidP="009A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D86" w:rsidRDefault="00ED2D86" w:rsidP="009A1B69">
      <w:r>
        <w:separator/>
      </w:r>
    </w:p>
  </w:footnote>
  <w:footnote w:type="continuationSeparator" w:id="0">
    <w:p w:rsidR="00ED2D86" w:rsidRDefault="00ED2D86" w:rsidP="009A1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5B3B"/>
    <w:multiLevelType w:val="hybridMultilevel"/>
    <w:tmpl w:val="7B468D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F6347D4"/>
    <w:multiLevelType w:val="hybridMultilevel"/>
    <w:tmpl w:val="7B468D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F801A62"/>
    <w:multiLevelType w:val="hybridMultilevel"/>
    <w:tmpl w:val="7B468D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FAE0EF4"/>
    <w:multiLevelType w:val="hybridMultilevel"/>
    <w:tmpl w:val="7B468D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63"/>
    <w:rsid w:val="00000CC6"/>
    <w:rsid w:val="003A0402"/>
    <w:rsid w:val="00657AF6"/>
    <w:rsid w:val="00732B69"/>
    <w:rsid w:val="00801F63"/>
    <w:rsid w:val="00812F89"/>
    <w:rsid w:val="008D0236"/>
    <w:rsid w:val="0090652F"/>
    <w:rsid w:val="009A1B69"/>
    <w:rsid w:val="009B2F63"/>
    <w:rsid w:val="00B442AC"/>
    <w:rsid w:val="00D62AAE"/>
    <w:rsid w:val="00D96644"/>
    <w:rsid w:val="00ED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F6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A1B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1B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1B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1B6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F6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A1B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1B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1B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1B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王麗雅</dc:creator>
  <cp:lastModifiedBy>王麗雅</cp:lastModifiedBy>
  <cp:revision>5</cp:revision>
  <dcterms:created xsi:type="dcterms:W3CDTF">2019-06-03T05:04:00Z</dcterms:created>
  <dcterms:modified xsi:type="dcterms:W3CDTF">2019-06-11T03:30:00Z</dcterms:modified>
</cp:coreProperties>
</file>