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567D2B" w:rsidP="003D5778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spellStart"/>
            <w:r w:rsidRPr="00567D2B">
              <w:rPr>
                <w:rFonts w:ascii="Times New Roman" w:eastAsia="標楷體" w:hAnsi="Times New Roman" w:cs="Times New Roman"/>
                <w:sz w:val="36"/>
                <w:szCs w:val="36"/>
              </w:rPr>
              <w:t>C</w:t>
            </w:r>
            <w:r w:rsidRPr="00567D2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arbimazole</w:t>
            </w:r>
            <w:proofErr w:type="spellEnd"/>
            <w:r w:rsidR="007613D5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及</w:t>
            </w:r>
            <w:proofErr w:type="spellStart"/>
            <w:r w:rsidRPr="00567D2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M</w:t>
            </w:r>
            <w:r w:rsidRPr="00567D2B">
              <w:rPr>
                <w:rFonts w:ascii="Times New Roman" w:eastAsia="標楷體" w:hAnsi="Times New Roman" w:cs="Times New Roman"/>
                <w:sz w:val="36"/>
                <w:szCs w:val="36"/>
              </w:rPr>
              <w:t>ethimazole</w:t>
            </w:r>
            <w:proofErr w:type="spellEnd"/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F717E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F717E5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108/5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F41F99" w:rsidP="009B492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C</w:t>
            </w:r>
            <w:r w:rsidRPr="00F41F9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arbimazole</w:t>
            </w:r>
            <w:proofErr w:type="spellEnd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M</w:t>
            </w:r>
            <w:r w:rsidRPr="00F41F99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ethimazole</w:t>
            </w:r>
            <w:proofErr w:type="spellEnd"/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proofErr w:type="spellStart"/>
            <w:r w:rsidR="00567D2B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c</w:t>
            </w:r>
            <w:r w:rsidR="00567D2B" w:rsidRPr="00F41F9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arbimazole</w:t>
            </w:r>
            <w:proofErr w:type="spellEnd"/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567D2B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567D2B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567D2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m</w:t>
            </w:r>
            <w:r w:rsidR="00567D2B" w:rsidRPr="00F41F99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ethimazole</w:t>
            </w:r>
            <w:proofErr w:type="spellEnd"/>
            <w:r w:rsidR="00567D2B"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567D2B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  <w:r w:rsidR="00567D2B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315100" w:rsidRDefault="00567D2B" w:rsidP="000445A1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C</w:t>
            </w:r>
            <w:r w:rsidRPr="00F41F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567D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甲狀腺機能亢進，甲狀腺中毒症，白色</w:t>
            </w:r>
            <w:proofErr w:type="gramStart"/>
            <w:r w:rsidRPr="00567D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陀</w:t>
            </w:r>
            <w:proofErr w:type="gramEnd"/>
            <w:r w:rsidRPr="00567D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氏病，甲狀腺手術前治療基礎新陳代謝過高。</w:t>
            </w:r>
          </w:p>
          <w:p w:rsidR="00567D2B" w:rsidRPr="001F67CC" w:rsidRDefault="00567D2B" w:rsidP="000445A1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</w:t>
            </w:r>
            <w:r w:rsidRPr="00F41F99">
              <w:rPr>
                <w:rFonts w:ascii="Times New Roman" w:eastAsia="標楷體" w:hAnsi="Times New Roman"/>
                <w:color w:val="000000" w:themeColor="text1"/>
                <w:szCs w:val="24"/>
              </w:rPr>
              <w:t>ethimazole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567D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由於甲狀腺機能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亢進引起之疾患如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巴西多氏病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、甲狀腺腫、甲狀腺炎、甲狀腺手術前後</w:t>
            </w:r>
            <w:r w:rsidRPr="00567D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F3659B" w:rsidRDefault="00F3659B" w:rsidP="00567D2B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</w:t>
            </w:r>
            <w:r w:rsidRPr="00F41F99">
              <w:rPr>
                <w:rFonts w:ascii="Times New Roman" w:eastAsia="標楷體" w:hAnsi="Times New Roman"/>
                <w:color w:val="000000" w:themeColor="text1"/>
                <w:szCs w:val="24"/>
              </w:rPr>
              <w:t>ethimazole</w:t>
            </w:r>
            <w:proofErr w:type="spellEnd"/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（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thiamazole</w:t>
            </w:r>
            <w:proofErr w:type="spellEnd"/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  <w:bdr w:val="none" w:sz="0" w:space="0" w:color="auto" w:frame="1"/>
                <w:shd w:val="clear" w:color="auto" w:fill="FFFFFF"/>
              </w:rPr>
              <w:t>thionamide</w:t>
            </w:r>
            <w:proofErr w:type="spellEnd"/>
            <w:r w:rsidRPr="00005F45">
              <w:rPr>
                <w:rFonts w:ascii="Times New Roman" w:eastAsia="標楷體" w:hAnsi="Times New Roman"/>
                <w:szCs w:val="24"/>
                <w:bdr w:val="none" w:sz="0" w:space="0" w:color="auto" w:frame="1"/>
                <w:shd w:val="clear" w:color="auto" w:fill="FFFFFF"/>
              </w:rPr>
              <w:t>類的</w:t>
            </w:r>
            <w:r>
              <w:rPr>
                <w:rFonts w:ascii="Times New Roman" w:eastAsia="標楷體" w:hAnsi="Times New Roman" w:hint="eastAsia"/>
                <w:szCs w:val="24"/>
                <w:bdr w:val="none" w:sz="0" w:space="0" w:color="auto" w:frame="1"/>
                <w:shd w:val="clear" w:color="auto" w:fill="FFFFFF"/>
              </w:rPr>
              <w:t>甲狀腺激素合成抑制劑，能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抑制甲狀腺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激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素合成過程</w:t>
            </w:r>
            <w:r w:rsidR="00E9757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中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碘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離子</w:t>
            </w:r>
            <w:r w:rsidR="00862804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的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有機化和偶合反應，</w:t>
            </w:r>
            <w:r w:rsidR="00E9757D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進而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減少</w:t>
            </w:r>
            <w:r w:rsidRPr="00005F45">
              <w:rPr>
                <w:rFonts w:ascii="Times New Roman" w:eastAsia="標楷體" w:hAnsi="Times New Roman"/>
                <w:szCs w:val="24"/>
              </w:rPr>
              <w:t>triiodothyronine</w:t>
            </w:r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（</w:t>
            </w:r>
            <w:r w:rsidRPr="00005F45">
              <w:rPr>
                <w:rFonts w:ascii="Times New Roman" w:eastAsia="標楷體" w:hAnsi="Times New Roman"/>
                <w:szCs w:val="24"/>
              </w:rPr>
              <w:t>T3</w:t>
            </w:r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）</w:t>
            </w:r>
            <w:r w:rsidRPr="00005F45">
              <w:rPr>
                <w:rFonts w:ascii="Times New Roman" w:eastAsia="標楷體" w:hAnsi="Times New Roman"/>
                <w:szCs w:val="24"/>
              </w:rPr>
              <w:t>及</w:t>
            </w:r>
            <w:r w:rsidRPr="00005F45">
              <w:rPr>
                <w:rFonts w:ascii="Times New Roman" w:eastAsia="標楷體" w:hAnsi="Times New Roman"/>
                <w:szCs w:val="24"/>
              </w:rPr>
              <w:t>thyroxine</w:t>
            </w:r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（</w:t>
            </w:r>
            <w:r w:rsidRPr="00005F45">
              <w:rPr>
                <w:rFonts w:ascii="Times New Roman" w:eastAsia="標楷體" w:hAnsi="Times New Roman"/>
                <w:szCs w:val="24"/>
              </w:rPr>
              <w:t>T4</w:t>
            </w:r>
            <w:r w:rsidR="00E9757D" w:rsidRPr="006F0B11">
              <w:rPr>
                <w:rFonts w:ascii="Times New Roman" w:eastAsia="標楷體" w:hAnsi="Times New Roman" w:hint="eastAsia"/>
                <w:bCs/>
                <w:color w:val="000000" w:themeColor="text1"/>
                <w:kern w:val="36"/>
                <w:szCs w:val="24"/>
                <w:lang w:bidi="hi-IN"/>
              </w:rPr>
              <w:t>）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的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生成。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不會影響已存在</w:t>
            </w:r>
            <w:r w:rsidR="00E9757D">
              <w:rPr>
                <w:rFonts w:ascii="Times New Roman" w:eastAsia="標楷體" w:hAnsi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szCs w:val="24"/>
              </w:rPr>
              <w:t>甲狀腺或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血液循環中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的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甲狀腺激素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之活性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也不干擾口服或注射甲狀腺激素的作用。</w:t>
            </w:r>
          </w:p>
          <w:p w:rsidR="003B77BF" w:rsidRPr="00F3659B" w:rsidRDefault="00560637" w:rsidP="00F3659B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560637">
              <w:rPr>
                <w:rFonts w:ascii="Times New Roman" w:eastAsia="標楷體" w:hAnsi="Times New Roman"/>
                <w:szCs w:val="24"/>
              </w:rPr>
              <w:t>Carbimazole</w:t>
            </w:r>
            <w:proofErr w:type="spellEnd"/>
            <w:r w:rsidRPr="00560637">
              <w:rPr>
                <w:rFonts w:ascii="Times New Roman" w:eastAsia="標楷體" w:hAnsi="Times New Roman"/>
                <w:szCs w:val="24"/>
              </w:rPr>
              <w:t>可控制體內兩種甲狀腺激素</w:t>
            </w:r>
            <w:r w:rsidRPr="00560637">
              <w:rPr>
                <w:rFonts w:ascii="Times New Roman" w:eastAsia="標楷體" w:hAnsi="Times New Roman"/>
                <w:szCs w:val="24"/>
              </w:rPr>
              <w:t xml:space="preserve"> (thyroxine</w:t>
            </w:r>
            <w:r w:rsidRPr="00560637">
              <w:rPr>
                <w:rFonts w:ascii="Times New Roman" w:eastAsia="標楷體" w:hAnsi="Times New Roman"/>
                <w:szCs w:val="24"/>
              </w:rPr>
              <w:t>及</w:t>
            </w:r>
            <w:r w:rsidRPr="00560637">
              <w:rPr>
                <w:rFonts w:ascii="Times New Roman" w:eastAsia="標楷體" w:hAnsi="Times New Roman"/>
                <w:szCs w:val="24"/>
              </w:rPr>
              <w:t xml:space="preserve">triiodothyronine) </w:t>
            </w:r>
            <w:r w:rsidRPr="00560637">
              <w:rPr>
                <w:rFonts w:ascii="Times New Roman" w:eastAsia="標楷體" w:hAnsi="Times New Roman"/>
                <w:szCs w:val="24"/>
              </w:rPr>
              <w:t>的合成，亦可減少甲狀腺對碘的吸收及釋放。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3F0EDA" w:rsidRDefault="00E9757D" w:rsidP="00FB74A3">
            <w:pPr>
              <w:widowControl/>
              <w:shd w:val="clear" w:color="auto" w:fill="FFFFFF"/>
              <w:jc w:val="both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2019/4/</w:t>
            </w:r>
            <w:r w:rsidR="003F0ED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瑞士</w:t>
            </w:r>
            <w:r w:rsidR="000B0674" w:rsidRPr="00CE5578">
              <w:rPr>
                <w:rFonts w:eastAsia="標楷體" w:hint="eastAsia"/>
                <w:color w:val="000000" w:themeColor="text1"/>
              </w:rPr>
              <w:t>醫藥管理局</w:t>
            </w:r>
            <w:r w:rsidR="000B0674">
              <w:rPr>
                <w:rFonts w:eastAsia="標楷體" w:hint="eastAsia"/>
                <w:color w:val="000000" w:themeColor="text1"/>
              </w:rPr>
              <w:t>發布</w:t>
            </w:r>
            <w:r w:rsidR="00E275F4">
              <w:rPr>
                <w:rFonts w:eastAsia="標楷體" w:hint="eastAsia"/>
                <w:color w:val="000000" w:themeColor="text1"/>
              </w:rPr>
              <w:t>含</w:t>
            </w:r>
            <w:proofErr w:type="spellStart"/>
            <w:r w:rsidR="0051062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c</w:t>
            </w:r>
            <w:r w:rsidR="00510624" w:rsidRPr="00F41F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arbimazole</w:t>
            </w:r>
            <w:proofErr w:type="spellEnd"/>
            <w:r w:rsidR="005106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proofErr w:type="spellStart"/>
            <w:r w:rsidR="005106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</w:t>
            </w:r>
            <w:r w:rsidR="00510624" w:rsidRPr="00F41F99">
              <w:rPr>
                <w:rFonts w:ascii="Times New Roman" w:eastAsia="標楷體" w:hAnsi="Times New Roman"/>
                <w:color w:val="000000" w:themeColor="text1"/>
                <w:szCs w:val="24"/>
              </w:rPr>
              <w:t>ethimazole</w:t>
            </w:r>
            <w:proofErr w:type="spellEnd"/>
            <w:r w:rsidR="0051062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成分藥品與</w:t>
            </w:r>
            <w:r w:rsidR="00AA5537">
              <w:rPr>
                <w:rFonts w:eastAsia="標楷體" w:hint="eastAsia"/>
                <w:color w:val="000000" w:themeColor="text1"/>
              </w:rPr>
              <w:t>「</w:t>
            </w:r>
            <w:r w:rsidR="000B0674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急性胰臟炎</w:t>
            </w:r>
            <w:r w:rsidR="00AA5537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」</w:t>
            </w:r>
            <w:r w:rsidR="00510624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及</w:t>
            </w:r>
            <w:r w:rsidR="00AA5537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「</w:t>
            </w:r>
            <w:r w:rsidR="00510624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胎兒先天</w:t>
            </w:r>
            <w:r w:rsidR="00AA5537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性畸形」等風險</w:t>
            </w:r>
            <w:r w:rsidR="000B0674">
              <w:rPr>
                <w:rFonts w:eastAsia="標楷體" w:hint="eastAsia"/>
                <w:color w:val="000000" w:themeColor="text1"/>
              </w:rPr>
              <w:t>相關</w:t>
            </w:r>
            <w:r w:rsidR="00E275F4">
              <w:rPr>
                <w:rFonts w:eastAsia="標楷體" w:hint="eastAsia"/>
                <w:color w:val="000000" w:themeColor="text1"/>
              </w:rPr>
              <w:t>的</w:t>
            </w:r>
            <w:r w:rsidR="001126E4">
              <w:rPr>
                <w:rFonts w:eastAsia="標楷體" w:hint="eastAsia"/>
                <w:color w:val="000000" w:themeColor="text1"/>
              </w:rPr>
              <w:t>安全性資訊</w:t>
            </w:r>
            <w:r w:rsidR="000B0674">
              <w:rPr>
                <w:rFonts w:eastAsia="標楷體" w:hint="eastAsia"/>
                <w:color w:val="000000" w:themeColor="text1"/>
              </w:rPr>
              <w:t>。</w:t>
            </w:r>
          </w:p>
          <w:p w:rsidR="00FB74A3" w:rsidRPr="00FB74A3" w:rsidRDefault="00DC4039" w:rsidP="00C12723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DC403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網址：</w:t>
            </w:r>
            <w:r w:rsidR="00F34FBD">
              <w:fldChar w:fldCharType="begin"/>
            </w:r>
            <w:r w:rsidR="00F34FBD">
              <w:instrText xml:space="preserve"> HYPERLINK "https://www.swissmedic.ch/swissmedic/en/home/humanarzneimittel/market-surveillance/health-professional-communication--hpc-/dhpc-neo-mercazole_carbimazol.html" </w:instrText>
            </w:r>
            <w:r w:rsidR="00F34FBD">
              <w:fldChar w:fldCharType="separate"/>
            </w:r>
            <w:r w:rsidR="00C12723" w:rsidRPr="00C12723">
              <w:rPr>
                <w:rStyle w:val="ab"/>
                <w:rFonts w:ascii="Times New Roman" w:hAnsi="Times New Roman"/>
              </w:rPr>
              <w:t>https://www.swissmedic.ch/swissmedic/en/home/humanarzneimittel/market-surveillance/health-professional-communication--hpc-/dhpc-neo-mercazole_carbimazol.html</w:t>
            </w:r>
            <w:r w:rsidR="00F34FBD">
              <w:rPr>
                <w:rStyle w:val="ab"/>
                <w:rFonts w:ascii="Times New Roman" w:hAnsi="Times New Roman"/>
              </w:rPr>
              <w:fldChar w:fldCharType="end"/>
            </w:r>
          </w:p>
        </w:tc>
      </w:tr>
      <w:tr w:rsidR="004E33E0" w:rsidRPr="00136184" w:rsidTr="00F717E5">
        <w:trPr>
          <w:trHeight w:val="3956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9D7237" w:rsidRPr="009D7237" w:rsidRDefault="00AA5537" w:rsidP="00ED3993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曾有使用</w:t>
            </w:r>
            <w:r w:rsidR="00ED3993"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005F45">
              <w:rPr>
                <w:rFonts w:ascii="Times New Roman" w:eastAsia="標楷體" w:hAnsi="Times New Roman"/>
                <w:szCs w:val="24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或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methimazole</w:t>
            </w:r>
            <w:proofErr w:type="spellEnd"/>
            <w:r w:rsidR="00ED3993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成分藥品後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發生急性胰臟炎的不良反應通報案例</w:t>
            </w:r>
            <w:r w:rsidR="001126E4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。</w:t>
            </w: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若治療期間出現任何急性胰臟炎相關症狀，應立即停藥。</w:t>
            </w:r>
          </w:p>
          <w:p w:rsidR="00AA5537" w:rsidRPr="009D7237" w:rsidRDefault="00680062" w:rsidP="00ED3993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4D470E">
              <w:rPr>
                <w:rFonts w:ascii="Times New Roman" w:eastAsia="標楷體" w:hAnsi="Times New Roman"/>
                <w:color w:val="000000" w:themeColor="text1"/>
              </w:rPr>
              <w:t>曾</w:t>
            </w:r>
            <w:r w:rsidR="00E275F4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Pr="004D470E">
              <w:rPr>
                <w:rFonts w:ascii="Times New Roman" w:eastAsia="標楷體" w:hAnsi="Times New Roman"/>
                <w:color w:val="000000" w:themeColor="text1"/>
              </w:rPr>
              <w:t>服用</w:t>
            </w:r>
            <w:r>
              <w:rPr>
                <w:rFonts w:ascii="Times New Roman" w:eastAsia="標楷體" w:hAnsi="標楷體" w:hint="eastAsia"/>
                <w:color w:val="000000"/>
              </w:rPr>
              <w:t>含</w:t>
            </w:r>
            <w:proofErr w:type="spellStart"/>
            <w:r>
              <w:rPr>
                <w:rFonts w:ascii="Times New Roman" w:eastAsia="標楷體" w:hAnsi="Times New Roman"/>
              </w:rPr>
              <w:t>c</w:t>
            </w:r>
            <w:r w:rsidRPr="00005F45">
              <w:rPr>
                <w:rFonts w:ascii="Times New Roman" w:eastAsia="標楷體" w:hAnsi="Times New Roman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</w:rPr>
              <w:t>或</w:t>
            </w:r>
            <w:proofErr w:type="spellStart"/>
            <w:r w:rsidRPr="00005F45">
              <w:rPr>
                <w:rFonts w:ascii="Times New Roman" w:eastAsia="標楷體" w:hAnsi="Times New Roman"/>
                <w:shd w:val="clear" w:color="auto" w:fill="FFFFFF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shd w:val="clear" w:color="auto" w:fill="FFFFFF"/>
              </w:rPr>
              <w:t>成分藥品</w:t>
            </w:r>
            <w:r w:rsidR="00E275F4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4D470E">
              <w:rPr>
                <w:rFonts w:ascii="Times New Roman" w:eastAsia="標楷體" w:hAnsi="Times New Roman"/>
                <w:color w:val="000000" w:themeColor="text1"/>
              </w:rPr>
              <w:t>發生急性胰臟炎的病人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510624">
              <w:rPr>
                <w:rFonts w:eastAsia="標楷體" w:hint="eastAsia"/>
                <w:color w:val="000000" w:themeColor="text1"/>
              </w:rPr>
              <w:t>不應</w:t>
            </w:r>
            <w:r>
              <w:rPr>
                <w:rFonts w:eastAsia="標楷體" w:hint="eastAsia"/>
                <w:color w:val="000000" w:themeColor="text1"/>
              </w:rPr>
              <w:t>再</w:t>
            </w:r>
            <w:r w:rsidR="00510624">
              <w:rPr>
                <w:rFonts w:eastAsia="標楷體" w:hint="eastAsia"/>
                <w:color w:val="000000" w:themeColor="text1"/>
              </w:rPr>
              <w:t>使用</w:t>
            </w:r>
            <w:r w:rsidR="00510624">
              <w:rPr>
                <w:rFonts w:ascii="Times New Roman" w:eastAsia="標楷體" w:hAnsi="標楷體" w:hint="eastAsia"/>
                <w:color w:val="000000"/>
              </w:rPr>
              <w:t>含</w:t>
            </w:r>
            <w:r>
              <w:rPr>
                <w:rFonts w:ascii="Times New Roman" w:eastAsia="標楷體" w:hAnsi="標楷體" w:hint="eastAsia"/>
                <w:color w:val="000000"/>
              </w:rPr>
              <w:t>該等</w:t>
            </w:r>
            <w:r w:rsidR="00510624">
              <w:rPr>
                <w:rFonts w:ascii="Times New Roman" w:eastAsia="標楷體" w:hAnsi="Times New Roman" w:hint="eastAsia"/>
                <w:shd w:val="clear" w:color="auto" w:fill="FFFFFF"/>
              </w:rPr>
              <w:t>成分藥品</w:t>
            </w:r>
            <w:r w:rsidR="00510624" w:rsidRPr="004D470E">
              <w:rPr>
                <w:rFonts w:ascii="Times New Roman" w:eastAsia="標楷體" w:hAnsi="Times New Roman"/>
                <w:color w:val="000000" w:themeColor="text1"/>
              </w:rPr>
              <w:t>，因</w:t>
            </w:r>
            <w:proofErr w:type="gramStart"/>
            <w:r w:rsidR="00510624" w:rsidRPr="004D470E">
              <w:rPr>
                <w:rFonts w:eastAsia="標楷體" w:hint="eastAsia"/>
                <w:color w:val="000000" w:themeColor="text1"/>
              </w:rPr>
              <w:t>再次</w:t>
            </w:r>
            <w:r w:rsidR="00510624" w:rsidRPr="00127269">
              <w:rPr>
                <w:rFonts w:ascii="Times New Roman" w:eastAsia="標楷體" w:hAnsi="Times New Roman"/>
                <w:color w:val="000000" w:themeColor="text1"/>
              </w:rPr>
              <w:t>投予</w:t>
            </w:r>
            <w:r w:rsidR="00510624" w:rsidRPr="004D470E">
              <w:rPr>
                <w:rFonts w:ascii="Times New Roman" w:eastAsia="標楷體" w:hAnsi="Times New Roman"/>
                <w:color w:val="000000" w:themeColor="text1"/>
              </w:rPr>
              <w:t>可能</w:t>
            </w:r>
            <w:proofErr w:type="gramEnd"/>
            <w:r w:rsidR="00510624" w:rsidRPr="004D470E">
              <w:rPr>
                <w:rFonts w:ascii="Times New Roman" w:eastAsia="標楷體" w:hAnsi="Times New Roman"/>
                <w:color w:val="000000" w:themeColor="text1"/>
              </w:rPr>
              <w:t>導致急性</w:t>
            </w:r>
            <w:r w:rsidR="00510624">
              <w:rPr>
                <w:rFonts w:ascii="Times New Roman" w:eastAsia="標楷體" w:hAnsi="Times New Roman"/>
                <w:color w:val="000000" w:themeColor="text1"/>
              </w:rPr>
              <w:t>胰臟炎</w:t>
            </w:r>
            <w:r w:rsidR="00510624">
              <w:rPr>
                <w:rFonts w:ascii="Times New Roman" w:eastAsia="標楷體" w:hAnsi="Times New Roman" w:hint="eastAsia"/>
                <w:color w:val="000000" w:themeColor="text1"/>
              </w:rPr>
              <w:t>復發</w:t>
            </w:r>
            <w:r w:rsidR="00510624" w:rsidRPr="004D470E">
              <w:rPr>
                <w:rFonts w:ascii="Times New Roman" w:eastAsia="標楷體" w:hAnsi="Times New Roman"/>
              </w:rPr>
              <w:t>。</w:t>
            </w:r>
          </w:p>
          <w:p w:rsidR="00F345AE" w:rsidRPr="00F345AE" w:rsidRDefault="00127269" w:rsidP="00F345AE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127269">
              <w:rPr>
                <w:rFonts w:ascii="Times New Roman" w:eastAsia="標楷體" w:hAnsi="Times New Roman"/>
                <w:kern w:val="0"/>
              </w:rPr>
              <w:t>近期</w:t>
            </w:r>
            <w:r w:rsidR="00680062">
              <w:rPr>
                <w:rFonts w:ascii="Times New Roman" w:eastAsia="標楷體" w:hAnsi="Times New Roman" w:hint="eastAsia"/>
                <w:kern w:val="0"/>
              </w:rPr>
              <w:t>研究</w:t>
            </w:r>
            <w:r w:rsidRPr="00127269">
              <w:rPr>
                <w:rFonts w:ascii="Times New Roman" w:eastAsia="標楷體" w:hAnsi="Times New Roman"/>
                <w:kern w:val="0"/>
              </w:rPr>
              <w:t>報告</w:t>
            </w:r>
            <w:r w:rsidR="00680062">
              <w:rPr>
                <w:rFonts w:ascii="Times New Roman" w:eastAsia="標楷體" w:hAnsi="Times New Roman" w:hint="eastAsia"/>
                <w:kern w:val="0"/>
              </w:rPr>
              <w:t>進一步指出</w:t>
            </w:r>
            <w:r w:rsidR="001126E4">
              <w:rPr>
                <w:rFonts w:ascii="Times New Roman" w:eastAsia="標楷體" w:hAnsi="Times New Roman" w:hint="eastAsia"/>
                <w:kern w:val="0"/>
              </w:rPr>
              <w:t>，</w:t>
            </w:r>
            <w:r w:rsidR="00A503AB">
              <w:rPr>
                <w:rFonts w:ascii="Times New Roman" w:eastAsia="標楷體" w:hAnsi="Times New Roman" w:hint="eastAsia"/>
                <w:kern w:val="0"/>
              </w:rPr>
              <w:t>懷孕期間</w:t>
            </w:r>
            <w:r w:rsidR="00A503AB" w:rsidRPr="001061DB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使用</w:t>
            </w:r>
            <w:r w:rsidR="001126E4"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spellStart"/>
            <w:r w:rsidR="001126E4">
              <w:rPr>
                <w:rFonts w:ascii="Times New Roman" w:eastAsia="標楷體" w:hAnsi="Times New Roman"/>
                <w:szCs w:val="24"/>
              </w:rPr>
              <w:t>c</w:t>
            </w:r>
            <w:r w:rsidR="001126E4" w:rsidRPr="00005F45">
              <w:rPr>
                <w:rFonts w:ascii="Times New Roman" w:eastAsia="標楷體" w:hAnsi="Times New Roman"/>
                <w:szCs w:val="24"/>
              </w:rPr>
              <w:t>arbimazole</w:t>
            </w:r>
            <w:proofErr w:type="spellEnd"/>
            <w:r w:rsidR="001126E4">
              <w:rPr>
                <w:rFonts w:ascii="Times New Roman" w:eastAsia="標楷體" w:hAnsi="Times New Roman" w:hint="eastAsia"/>
                <w:szCs w:val="24"/>
              </w:rPr>
              <w:t>或</w:t>
            </w:r>
            <w:proofErr w:type="spellStart"/>
            <w:r w:rsidR="001126E4"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methimazole</w:t>
            </w:r>
            <w:proofErr w:type="spellEnd"/>
            <w:r w:rsidR="001126E4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成分藥品</w:t>
            </w:r>
            <w:r w:rsidRPr="001061DB">
              <w:rPr>
                <w:rFonts w:ascii="Times New Roman" w:eastAsia="標楷體" w:hAnsi="Times New Roman"/>
                <w:kern w:val="0"/>
              </w:rPr>
              <w:t>可能</w:t>
            </w:r>
            <w:r w:rsidR="00680062">
              <w:rPr>
                <w:rFonts w:ascii="Times New Roman" w:eastAsia="標楷體" w:hAnsi="Times New Roman" w:hint="eastAsia"/>
                <w:kern w:val="0"/>
              </w:rPr>
              <w:t>有</w:t>
            </w:r>
            <w:r w:rsidR="00510624">
              <w:rPr>
                <w:rFonts w:ascii="Times New Roman" w:eastAsia="標楷體" w:hAnsi="Times New Roman"/>
                <w:kern w:val="0"/>
              </w:rPr>
              <w:t>導致胎兒先</w:t>
            </w:r>
            <w:r w:rsidR="00510624">
              <w:rPr>
                <w:rFonts w:ascii="Times New Roman" w:eastAsia="標楷體" w:hAnsi="Times New Roman" w:hint="eastAsia"/>
                <w:kern w:val="0"/>
              </w:rPr>
              <w:t>天</w:t>
            </w:r>
            <w:r w:rsidR="00A503AB" w:rsidRPr="001061DB">
              <w:rPr>
                <w:rFonts w:ascii="Times New Roman" w:eastAsia="標楷體" w:hAnsi="Times New Roman"/>
                <w:kern w:val="0"/>
              </w:rPr>
              <w:t>性畸形的風險</w:t>
            </w:r>
            <w:r w:rsidR="00510624">
              <w:rPr>
                <w:rFonts w:ascii="Times New Roman" w:eastAsia="標楷體" w:hAnsi="Times New Roman" w:hint="eastAsia"/>
                <w:kern w:val="0"/>
              </w:rPr>
              <w:t>，特別是在第一孕期和使用高劑量的情況下</w:t>
            </w:r>
            <w:r w:rsidR="00A503AB" w:rsidRPr="001061DB">
              <w:rPr>
                <w:rFonts w:ascii="Times New Roman" w:eastAsia="標楷體" w:hAnsi="Times New Roman"/>
                <w:kern w:val="0"/>
              </w:rPr>
              <w:t>。</w:t>
            </w:r>
          </w:p>
          <w:p w:rsidR="004E33E0" w:rsidRPr="00F345AE" w:rsidRDefault="00A503AB" w:rsidP="00680062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kern w:val="0"/>
                <w:szCs w:val="24"/>
              </w:rPr>
            </w:pPr>
            <w:r w:rsidRPr="00F345AE">
              <w:rPr>
                <w:rFonts w:ascii="Times New Roman" w:eastAsia="標楷體" w:hAnsi="Times New Roman"/>
                <w:color w:val="000000"/>
                <w:szCs w:val="24"/>
              </w:rPr>
              <w:t>育齡婦女在接受</w:t>
            </w:r>
            <w:r w:rsidR="00ED3993" w:rsidRPr="00F345AE"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spellStart"/>
            <w:r w:rsidR="00ED3993" w:rsidRPr="00F345AE">
              <w:rPr>
                <w:rFonts w:ascii="Times New Roman" w:eastAsia="標楷體" w:hAnsi="Times New Roman"/>
                <w:szCs w:val="24"/>
              </w:rPr>
              <w:t>carbimazole</w:t>
            </w:r>
            <w:proofErr w:type="spellEnd"/>
            <w:r w:rsidR="00ED3993" w:rsidRPr="00F345AE">
              <w:rPr>
                <w:rFonts w:ascii="Times New Roman" w:eastAsia="標楷體" w:hAnsi="Times New Roman" w:hint="eastAsia"/>
                <w:szCs w:val="24"/>
              </w:rPr>
              <w:t>或</w:t>
            </w:r>
            <w:proofErr w:type="spellStart"/>
            <w:r w:rsidR="00ED3993" w:rsidRPr="00F345AE">
              <w:rPr>
                <w:rFonts w:ascii="Times New Roman" w:eastAsia="標楷體" w:hAnsi="Times New Roman"/>
                <w:szCs w:val="24"/>
                <w:shd w:val="clear" w:color="auto" w:fill="FFFFFF"/>
              </w:rPr>
              <w:t>methimazole</w:t>
            </w:r>
            <w:proofErr w:type="spellEnd"/>
            <w:r w:rsidR="00ED3993" w:rsidRPr="00F345AE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成分藥品</w:t>
            </w:r>
            <w:r w:rsidRPr="00F345AE">
              <w:rPr>
                <w:rFonts w:ascii="Times New Roman" w:eastAsia="標楷體" w:hAnsi="Times New Roman"/>
                <w:kern w:val="0"/>
              </w:rPr>
              <w:t>治療期間應採取有效的避孕措施。</w:t>
            </w:r>
          </w:p>
        </w:tc>
      </w:tr>
      <w:tr w:rsidR="00F717E5" w:rsidRPr="00136184" w:rsidTr="0069389E">
        <w:trPr>
          <w:trHeight w:val="4527"/>
          <w:jc w:val="center"/>
        </w:trPr>
        <w:tc>
          <w:tcPr>
            <w:tcW w:w="2413" w:type="dxa"/>
            <w:vAlign w:val="center"/>
          </w:tcPr>
          <w:p w:rsidR="00F717E5" w:rsidRPr="00B57AEE" w:rsidRDefault="00F717E5" w:rsidP="009424B6">
            <w:pPr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7316" w:type="dxa"/>
          </w:tcPr>
          <w:p w:rsidR="00F717E5" w:rsidRPr="001B7FE6" w:rsidRDefault="00F717E5" w:rsidP="00F717E5">
            <w:pPr>
              <w:pStyle w:val="Web"/>
              <w:numPr>
                <w:ilvl w:val="0"/>
                <w:numId w:val="1"/>
              </w:numPr>
              <w:tabs>
                <w:tab w:val="clear" w:pos="346"/>
                <w:tab w:val="num" w:pos="318"/>
              </w:tabs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</w:rPr>
              <w:t>食品藥物管理署說明：</w:t>
            </w:r>
          </w:p>
          <w:p w:rsidR="00F717E5" w:rsidRPr="00F717E5" w:rsidRDefault="00F717E5" w:rsidP="00F717E5">
            <w:pPr>
              <w:pStyle w:val="a9"/>
              <w:widowControl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</w:rPr>
              <w:t>經查，我國核准含</w:t>
            </w:r>
            <w:proofErr w:type="spellStart"/>
            <w:r>
              <w:rPr>
                <w:rFonts w:ascii="Times New Roman" w:hAnsi="Times New Roman"/>
              </w:rPr>
              <w:t>carbimazole</w:t>
            </w:r>
            <w:proofErr w:type="spellEnd"/>
            <w:r>
              <w:rPr>
                <w:rFonts w:ascii="標楷體" w:eastAsia="標楷體" w:hAnsi="標楷體" w:hint="eastAsia"/>
              </w:rPr>
              <w:t>成分藥品</w:t>
            </w:r>
            <w:r w:rsidR="00E275F4">
              <w:rPr>
                <w:rFonts w:ascii="標楷體" w:eastAsia="標楷體" w:hAnsi="標楷體" w:hint="eastAsia"/>
              </w:rPr>
              <w:t>製劑</w:t>
            </w:r>
            <w:r>
              <w:rPr>
                <w:rFonts w:ascii="標楷體" w:eastAsia="標楷體" w:hAnsi="標楷體" w:hint="eastAsia"/>
              </w:rPr>
              <w:t>許可證共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張，其中文仿單</w:t>
            </w:r>
            <w:r w:rsidR="00E275F4">
              <w:rPr>
                <w:rFonts w:ascii="標楷體" w:eastAsia="標楷體" w:hAnsi="標楷體" w:hint="eastAsia"/>
              </w:rPr>
              <w:t>已</w:t>
            </w:r>
            <w:r w:rsidR="007807F7">
              <w:rPr>
                <w:rFonts w:ascii="標楷體" w:eastAsia="標楷體" w:hAnsi="標楷體" w:hint="eastAsia"/>
              </w:rPr>
              <w:t>於「注意事項」</w:t>
            </w:r>
            <w:r>
              <w:rPr>
                <w:rFonts w:ascii="標楷體" w:eastAsia="標楷體" w:hAnsi="標楷體" w:hint="eastAsia"/>
              </w:rPr>
              <w:t>刊載「懷孕期間可</w:t>
            </w:r>
            <w:proofErr w:type="gramStart"/>
            <w:r>
              <w:rPr>
                <w:rFonts w:ascii="標楷體" w:eastAsia="標楷體" w:hAnsi="標楷體" w:hint="eastAsia"/>
              </w:rPr>
              <w:t>使用本劑</w:t>
            </w:r>
            <w:proofErr w:type="gramEnd"/>
            <w:r>
              <w:rPr>
                <w:rFonts w:ascii="標楷體" w:eastAsia="標楷體" w:hAnsi="標楷體" w:hint="eastAsia"/>
              </w:rPr>
              <w:t>，唯劑量須</w:t>
            </w:r>
            <w:proofErr w:type="gramStart"/>
            <w:r>
              <w:rPr>
                <w:rFonts w:ascii="標楷體" w:eastAsia="標楷體" w:hAnsi="標楷體" w:hint="eastAsia"/>
              </w:rPr>
              <w:t>儘</w:t>
            </w:r>
            <w:proofErr w:type="gramEnd"/>
            <w:r>
              <w:rPr>
                <w:rFonts w:ascii="標楷體" w:eastAsia="標楷體" w:hAnsi="標楷體" w:hint="eastAsia"/>
              </w:rPr>
              <w:t>可能降低。在生產前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標楷體" w:eastAsia="標楷體" w:hAnsi="標楷體" w:hint="eastAsia"/>
              </w:rPr>
              <w:t>個月，請停止用藥」，惟未提及可能造成「胎兒先天性畸形」及「急性胰臟炎」的相關警語。</w:t>
            </w:r>
          </w:p>
          <w:p w:rsidR="00F717E5" w:rsidRDefault="00F717E5" w:rsidP="00F717E5">
            <w:pPr>
              <w:pStyle w:val="a9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r w:rsidRPr="00F717E5">
              <w:rPr>
                <w:rFonts w:ascii="標楷體" w:eastAsia="標楷體" w:hAnsi="標楷體" w:hint="eastAsia"/>
              </w:rPr>
              <w:t>次查，我國核准含</w:t>
            </w:r>
            <w:proofErr w:type="spellStart"/>
            <w:r w:rsidRPr="00F717E5">
              <w:rPr>
                <w:rFonts w:ascii="Times New Roman" w:hAnsi="Times New Roman"/>
              </w:rPr>
              <w:t>methimazole</w:t>
            </w:r>
            <w:proofErr w:type="spellEnd"/>
            <w:r w:rsidRPr="00F717E5">
              <w:rPr>
                <w:rFonts w:ascii="標楷體" w:eastAsia="標楷體" w:hAnsi="標楷體" w:hint="eastAsia"/>
              </w:rPr>
              <w:t>成分藥品</w:t>
            </w:r>
            <w:r w:rsidR="00E275F4">
              <w:rPr>
                <w:rFonts w:ascii="標楷體" w:eastAsia="標楷體" w:hAnsi="標楷體" w:hint="eastAsia"/>
              </w:rPr>
              <w:t>製劑</w:t>
            </w:r>
            <w:r w:rsidRPr="00F717E5">
              <w:rPr>
                <w:rFonts w:ascii="標楷體" w:eastAsia="標楷體" w:hAnsi="標楷體" w:hint="eastAsia"/>
              </w:rPr>
              <w:t>許可證共</w:t>
            </w:r>
            <w:r w:rsidRPr="00F717E5">
              <w:rPr>
                <w:rFonts w:ascii="Times New Roman" w:hAnsi="Times New Roman"/>
              </w:rPr>
              <w:t>12</w:t>
            </w:r>
            <w:r w:rsidRPr="00F717E5">
              <w:rPr>
                <w:rFonts w:ascii="標楷體" w:eastAsia="標楷體" w:hAnsi="標楷體" w:hint="eastAsia"/>
              </w:rPr>
              <w:t>張，其中文仿單已於「警語」</w:t>
            </w:r>
            <w:r w:rsidR="00E275F4">
              <w:rPr>
                <w:rFonts w:ascii="標楷體" w:eastAsia="標楷體" w:hAnsi="標楷體" w:hint="eastAsia"/>
              </w:rPr>
              <w:t>及</w:t>
            </w:r>
            <w:r w:rsidRPr="00F717E5">
              <w:rPr>
                <w:rFonts w:ascii="標楷體" w:eastAsia="標楷體" w:hAnsi="標楷體" w:hint="eastAsia"/>
              </w:rPr>
              <w:t>「注意事項」刊載「</w:t>
            </w:r>
            <w:proofErr w:type="spellStart"/>
            <w:r w:rsidRPr="00F717E5">
              <w:rPr>
                <w:rFonts w:ascii="Times New Roman" w:hAnsi="Times New Roman"/>
              </w:rPr>
              <w:t>Methimazole</w:t>
            </w:r>
            <w:proofErr w:type="spellEnd"/>
            <w:r w:rsidRPr="00F717E5">
              <w:rPr>
                <w:rFonts w:ascii="標楷體" w:eastAsia="標楷體" w:hAnsi="標楷體" w:hint="eastAsia"/>
              </w:rPr>
              <w:t>使用於妊娠婦女會引起胎兒傷害，</w:t>
            </w:r>
            <w:proofErr w:type="gramStart"/>
            <w:r w:rsidRPr="00F717E5">
              <w:rPr>
                <w:rFonts w:ascii="標楷體" w:eastAsia="標楷體" w:hAnsi="標楷體" w:hint="eastAsia"/>
              </w:rPr>
              <w:t>因本藥易於</w:t>
            </w:r>
            <w:proofErr w:type="gramEnd"/>
            <w:r w:rsidRPr="00F717E5">
              <w:rPr>
                <w:rFonts w:ascii="標楷體" w:eastAsia="標楷體" w:hAnsi="標楷體" w:hint="eastAsia"/>
              </w:rPr>
              <w:t>通過胎盤膜及能使發育中的胎兒發生甲狀腺腫</w:t>
            </w:r>
            <w:r w:rsidRPr="00F717E5">
              <w:rPr>
                <w:rFonts w:ascii="Times New Roman" w:hAnsi="Times New Roman"/>
              </w:rPr>
              <w:t>(Goiter)</w:t>
            </w:r>
            <w:r w:rsidRPr="00F717E5">
              <w:rPr>
                <w:rFonts w:ascii="標楷體" w:eastAsia="標楷體" w:hAnsi="標楷體" w:hint="eastAsia"/>
              </w:rPr>
              <w:t>或甚至</w:t>
            </w:r>
            <w:proofErr w:type="gramStart"/>
            <w:r w:rsidRPr="00F717E5">
              <w:rPr>
                <w:rFonts w:ascii="標楷體" w:eastAsia="標楷體" w:hAnsi="標楷體" w:hint="eastAsia"/>
              </w:rPr>
              <w:t>矮呆症</w:t>
            </w:r>
            <w:proofErr w:type="gramEnd"/>
            <w:r w:rsidRPr="00F717E5">
              <w:rPr>
                <w:rFonts w:ascii="Times New Roman" w:hAnsi="Times New Roman"/>
              </w:rPr>
              <w:t>(Cretinism)</w:t>
            </w:r>
            <w:r w:rsidRPr="00F717E5">
              <w:rPr>
                <w:rFonts w:ascii="標楷體" w:eastAsia="標楷體" w:hAnsi="標楷體" w:hint="eastAsia"/>
              </w:rPr>
              <w:t>。另外，懷孕時服用</w:t>
            </w:r>
            <w:proofErr w:type="spellStart"/>
            <w:r w:rsidRPr="00F717E5">
              <w:rPr>
                <w:rFonts w:ascii="Times New Roman" w:hAnsi="Times New Roman"/>
              </w:rPr>
              <w:t>Methimazole</w:t>
            </w:r>
            <w:proofErr w:type="spellEnd"/>
            <w:r w:rsidR="00E275F4" w:rsidRPr="0069389E">
              <w:rPr>
                <w:rFonts w:ascii="標楷體" w:eastAsia="標楷體" w:hAnsi="標楷體" w:hint="eastAsia"/>
              </w:rPr>
              <w:t>的</w:t>
            </w:r>
            <w:r w:rsidRPr="00F717E5">
              <w:rPr>
                <w:rFonts w:ascii="標楷體" w:eastAsia="標楷體" w:hAnsi="標楷體" w:hint="eastAsia"/>
              </w:rPr>
              <w:t>母親，其嬰兒出生後，有皮膚缺損的病例，如頭皮缺損的罕見病例」</w:t>
            </w:r>
            <w:r w:rsidR="00E275F4">
              <w:rPr>
                <w:rFonts w:ascii="標楷體" w:eastAsia="標楷體" w:hAnsi="標楷體" w:hint="eastAsia"/>
              </w:rPr>
              <w:t>及</w:t>
            </w:r>
            <w:r w:rsidRPr="00F717E5">
              <w:rPr>
                <w:rFonts w:ascii="標楷體" w:eastAsia="標楷體" w:hAnsi="標楷體" w:hint="eastAsia"/>
              </w:rPr>
              <w:t>「懷孕期間使用最小的有效劑量，且</w:t>
            </w:r>
            <w:proofErr w:type="gramStart"/>
            <w:r w:rsidRPr="00F717E5">
              <w:rPr>
                <w:rFonts w:ascii="標楷體" w:eastAsia="標楷體" w:hAnsi="標楷體" w:hint="eastAsia"/>
              </w:rPr>
              <w:t>儘</w:t>
            </w:r>
            <w:proofErr w:type="gramEnd"/>
            <w:r w:rsidRPr="00F717E5">
              <w:rPr>
                <w:rFonts w:ascii="標楷體" w:eastAsia="標楷體" w:hAnsi="標楷體" w:hint="eastAsia"/>
              </w:rPr>
              <w:t>可能於分娩前</w:t>
            </w:r>
            <w:r w:rsidRPr="00F717E5">
              <w:rPr>
                <w:rFonts w:ascii="Times New Roman" w:hAnsi="Times New Roman"/>
              </w:rPr>
              <w:t>2~3</w:t>
            </w:r>
            <w:proofErr w:type="gramStart"/>
            <w:r w:rsidRPr="00F717E5">
              <w:rPr>
                <w:rFonts w:ascii="標楷體" w:eastAsia="標楷體" w:hAnsi="標楷體" w:hint="eastAsia"/>
              </w:rPr>
              <w:t>週</w:t>
            </w:r>
            <w:proofErr w:type="gramEnd"/>
            <w:r w:rsidRPr="00F717E5">
              <w:rPr>
                <w:rFonts w:ascii="標楷體" w:eastAsia="標楷體" w:hAnsi="標楷體" w:hint="eastAsia"/>
              </w:rPr>
              <w:t>停藥」等相關警語，惟未提及可能造成「胎兒先天性畸形」及「急性胰臟炎」的相關警語。</w:t>
            </w:r>
          </w:p>
          <w:p w:rsidR="00F717E5" w:rsidRPr="00F717E5" w:rsidRDefault="00F717E5" w:rsidP="00F717E5">
            <w:pPr>
              <w:pStyle w:val="a9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F717E5">
              <w:rPr>
                <w:rFonts w:ascii="標楷體" w:eastAsia="標楷體" w:hAnsi="標楷體" w:hint="eastAsia"/>
              </w:rPr>
              <w:t>本署現</w:t>
            </w:r>
            <w:proofErr w:type="gramEnd"/>
            <w:r w:rsidRPr="00F717E5">
              <w:rPr>
                <w:rFonts w:ascii="標楷體" w:eastAsia="標楷體" w:hAnsi="標楷體" w:hint="eastAsia"/>
              </w:rPr>
              <w:t>正評估是否針對該</w:t>
            </w:r>
            <w:r w:rsidR="00680062">
              <w:rPr>
                <w:rFonts w:ascii="標楷體" w:eastAsia="標楷體" w:hAnsi="標楷體" w:hint="eastAsia"/>
              </w:rPr>
              <w:t>等</w:t>
            </w:r>
            <w:r w:rsidRPr="00F717E5">
              <w:rPr>
                <w:rFonts w:ascii="標楷體" w:eastAsia="標楷體" w:hAnsi="標楷體" w:hint="eastAsia"/>
              </w:rPr>
              <w:t>成分藥品採取相關風險管控措施。</w:t>
            </w:r>
          </w:p>
          <w:p w:rsidR="00F717E5" w:rsidRPr="00D63CDD" w:rsidRDefault="00F717E5" w:rsidP="004D470E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F717E5" w:rsidRPr="0069389E" w:rsidRDefault="007807F7" w:rsidP="0069389E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若病人於治療期間出現任何急性胰臟炎相關症狀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或徵侯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，應立即停藥，</w:t>
            </w:r>
            <w:r w:rsidR="00680062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且</w:t>
            </w:r>
            <w:r w:rsidR="00F717E5" w:rsidRPr="0069389E">
              <w:rPr>
                <w:rFonts w:eastAsia="標楷體"/>
                <w:color w:val="000000" w:themeColor="text1"/>
              </w:rPr>
              <w:t>不應再次</w:t>
            </w:r>
            <w:r w:rsidR="00F717E5" w:rsidRPr="0069389E">
              <w:rPr>
                <w:rFonts w:ascii="Times New Roman" w:eastAsia="標楷體" w:hAnsi="Times New Roman"/>
                <w:color w:val="000000" w:themeColor="text1"/>
              </w:rPr>
              <w:t>處方</w:t>
            </w:r>
            <w:r w:rsidR="00F717E5" w:rsidRPr="0069389E">
              <w:rPr>
                <w:rFonts w:ascii="Times New Roman" w:eastAsia="標楷體" w:hAnsi="標楷體"/>
                <w:color w:val="000000"/>
              </w:rPr>
              <w:t>含</w:t>
            </w:r>
            <w:proofErr w:type="spellStart"/>
            <w:r w:rsidR="00F717E5" w:rsidRPr="0069389E">
              <w:rPr>
                <w:rFonts w:ascii="Times New Roman" w:eastAsia="標楷體" w:hAnsi="Times New Roman"/>
              </w:rPr>
              <w:t>carbimazole</w:t>
            </w:r>
            <w:proofErr w:type="spellEnd"/>
            <w:r w:rsidR="00F717E5" w:rsidRPr="0069389E">
              <w:rPr>
                <w:rFonts w:ascii="Times New Roman" w:eastAsia="標楷體" w:hAnsi="Times New Roman"/>
              </w:rPr>
              <w:t>或</w:t>
            </w:r>
            <w:proofErr w:type="spellStart"/>
            <w:r w:rsidR="00F717E5" w:rsidRPr="0069389E">
              <w:rPr>
                <w:rFonts w:ascii="Times New Roman" w:eastAsia="標楷體" w:hAnsi="Times New Roman"/>
                <w:shd w:val="clear" w:color="auto" w:fill="FFFFFF"/>
              </w:rPr>
              <w:t>methimazole</w:t>
            </w:r>
            <w:proofErr w:type="spellEnd"/>
            <w:r w:rsidR="00F717E5" w:rsidRPr="0069389E">
              <w:rPr>
                <w:rFonts w:ascii="Times New Roman" w:eastAsia="標楷體" w:hAnsi="Times New Roman"/>
                <w:shd w:val="clear" w:color="auto" w:fill="FFFFFF"/>
              </w:rPr>
              <w:t>成分藥品</w:t>
            </w:r>
            <w:r w:rsidR="00F717E5" w:rsidRPr="0069389E">
              <w:rPr>
                <w:rFonts w:ascii="Times New Roman" w:eastAsia="標楷體" w:hAnsi="Times New Roman"/>
              </w:rPr>
              <w:t>於</w:t>
            </w:r>
            <w:r w:rsidR="00F717E5" w:rsidRPr="0069389E">
              <w:rPr>
                <w:rFonts w:ascii="Times New Roman" w:eastAsia="標楷體" w:hAnsi="Times New Roman"/>
                <w:color w:val="000000" w:themeColor="text1"/>
              </w:rPr>
              <w:t>曾</w:t>
            </w:r>
            <w:r w:rsidR="00E275F4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="00F717E5" w:rsidRPr="0069389E">
              <w:rPr>
                <w:rFonts w:ascii="Times New Roman" w:eastAsia="標楷體" w:hAnsi="Times New Roman"/>
                <w:color w:val="000000" w:themeColor="text1"/>
              </w:rPr>
              <w:t>服用此兩種藥品後發生急性胰臟炎的病人，</w:t>
            </w:r>
            <w:r w:rsidR="00680062">
              <w:rPr>
                <w:rFonts w:ascii="Times New Roman" w:eastAsia="標楷體" w:hAnsi="Times New Roman" w:hint="eastAsia"/>
                <w:color w:val="000000" w:themeColor="text1"/>
              </w:rPr>
              <w:t>避免</w:t>
            </w:r>
            <w:r w:rsidR="00E275F4">
              <w:rPr>
                <w:rFonts w:ascii="Times New Roman" w:eastAsia="標楷體" w:hAnsi="Times New Roman" w:hint="eastAsia"/>
                <w:color w:val="000000" w:themeColor="text1"/>
              </w:rPr>
              <w:t>急性胰臟炎</w:t>
            </w:r>
            <w:r w:rsidR="00F717E5" w:rsidRPr="0069389E">
              <w:rPr>
                <w:rFonts w:ascii="Times New Roman" w:eastAsia="標楷體" w:hAnsi="Times New Roman"/>
                <w:color w:val="000000" w:themeColor="text1"/>
              </w:rPr>
              <w:t>復發</w:t>
            </w:r>
            <w:r w:rsidR="00F717E5" w:rsidRPr="0069389E">
              <w:rPr>
                <w:rFonts w:ascii="Times New Roman" w:eastAsia="標楷體" w:hAnsi="Times New Roman"/>
              </w:rPr>
              <w:t>。</w:t>
            </w:r>
          </w:p>
          <w:p w:rsidR="00E275F4" w:rsidRPr="0069389E" w:rsidRDefault="00E275F4" w:rsidP="0069389E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懷孕婦女</w:t>
            </w:r>
            <w:r w:rsidRPr="001061DB">
              <w:rPr>
                <w:rFonts w:ascii="Times New Roman" w:eastAsia="標楷體" w:hAnsi="Times New Roman"/>
                <w:bCs/>
                <w:color w:val="000000" w:themeColor="text1"/>
                <w:kern w:val="36"/>
                <w:szCs w:val="24"/>
                <w:lang w:bidi="hi-IN"/>
              </w:rPr>
              <w:t>使用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005F45">
              <w:rPr>
                <w:rFonts w:ascii="Times New Roman" w:eastAsia="標楷體" w:hAnsi="Times New Roman"/>
                <w:szCs w:val="24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或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成分藥品</w:t>
            </w:r>
            <w:r>
              <w:rPr>
                <w:rFonts w:ascii="Times New Roman" w:eastAsia="標楷體" w:hAnsi="Times New Roman"/>
                <w:kern w:val="0"/>
              </w:rPr>
              <w:t>可能有導致胎兒先</w:t>
            </w:r>
            <w:r>
              <w:rPr>
                <w:rFonts w:ascii="Times New Roman" w:eastAsia="標楷體" w:hAnsi="Times New Roman" w:hint="eastAsia"/>
                <w:kern w:val="0"/>
              </w:rPr>
              <w:t>天</w:t>
            </w:r>
            <w:r w:rsidRPr="001061DB">
              <w:rPr>
                <w:rFonts w:ascii="Times New Roman" w:eastAsia="標楷體" w:hAnsi="Times New Roman"/>
                <w:kern w:val="0"/>
              </w:rPr>
              <w:t>性畸形的風險</w:t>
            </w:r>
            <w:r>
              <w:rPr>
                <w:rFonts w:ascii="Times New Roman" w:eastAsia="標楷體" w:hAnsi="Times New Roman" w:hint="eastAsia"/>
                <w:kern w:val="0"/>
              </w:rPr>
              <w:t>，特別是在第一孕期和使用高劑量的情況下</w:t>
            </w:r>
            <w:r w:rsidRPr="001061DB">
              <w:rPr>
                <w:rFonts w:ascii="Times New Roman" w:eastAsia="標楷體" w:hAnsi="Times New Roman"/>
                <w:kern w:val="0"/>
              </w:rPr>
              <w:t>。</w:t>
            </w:r>
          </w:p>
          <w:p w:rsidR="00E275F4" w:rsidRPr="0069389E" w:rsidRDefault="00E275F4" w:rsidP="0069389E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hint="eastAsia"/>
              </w:rPr>
              <w:t>處方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spellStart"/>
            <w:r>
              <w:rPr>
                <w:rFonts w:ascii="Times New Roman" w:eastAsia="標楷體" w:hAnsi="Times New Roman"/>
                <w:szCs w:val="24"/>
              </w:rPr>
              <w:t>c</w:t>
            </w:r>
            <w:r w:rsidRPr="00005F45">
              <w:rPr>
                <w:rFonts w:ascii="Times New Roman" w:eastAsia="標楷體" w:hAnsi="Times New Roman"/>
                <w:szCs w:val="24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</w:rPr>
              <w:t>或</w:t>
            </w:r>
            <w:proofErr w:type="spellStart"/>
            <w:r w:rsidRPr="00005F45">
              <w:rPr>
                <w:rFonts w:ascii="Times New Roman" w:eastAsia="標楷體" w:hAnsi="Times New Roman"/>
                <w:szCs w:val="24"/>
                <w:shd w:val="clear" w:color="auto" w:fill="FFFFFF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成分藥品</w:t>
            </w:r>
            <w:r>
              <w:rPr>
                <w:rFonts w:ascii="Times New Roman" w:eastAsia="標楷體" w:hAnsi="Times New Roman" w:hint="eastAsia"/>
                <w:kern w:val="0"/>
              </w:rPr>
              <w:t>於懷孕婦女</w:t>
            </w:r>
            <w:r>
              <w:rPr>
                <w:rFonts w:ascii="Times New Roman" w:eastAsia="標楷體" w:hAnsi="Times New Roman" w:hint="eastAsia"/>
              </w:rPr>
              <w:t>前應審慎評估其臨床效益與風險，</w:t>
            </w:r>
            <w:r w:rsidRPr="001061DB">
              <w:rPr>
                <w:rFonts w:ascii="Times New Roman" w:eastAsia="標楷體" w:hAnsi="Times New Roman"/>
                <w:kern w:val="0"/>
              </w:rPr>
              <w:t>且</w:t>
            </w:r>
            <w:r>
              <w:rPr>
                <w:rFonts w:ascii="Times New Roman" w:eastAsia="標楷體" w:hAnsi="Times New Roman" w:hint="eastAsia"/>
                <w:kern w:val="0"/>
              </w:rPr>
              <w:t>應於</w:t>
            </w:r>
            <w:r>
              <w:rPr>
                <w:rFonts w:ascii="Times New Roman" w:eastAsia="標楷體" w:hAnsi="Times New Roman"/>
                <w:kern w:val="0"/>
              </w:rPr>
              <w:t>沒有額外給</w:t>
            </w:r>
            <w:r>
              <w:rPr>
                <w:rFonts w:ascii="Times New Roman" w:eastAsia="標楷體" w:hAnsi="Times New Roman" w:hint="eastAsia"/>
                <w:kern w:val="0"/>
              </w:rPr>
              <w:t>予</w:t>
            </w:r>
            <w:r w:rsidRPr="001061DB">
              <w:rPr>
                <w:rFonts w:ascii="Times New Roman" w:eastAsia="標楷體" w:hAnsi="Times New Roman"/>
                <w:kern w:val="0"/>
              </w:rPr>
              <w:t>其他</w:t>
            </w:r>
            <w:r>
              <w:rPr>
                <w:rFonts w:ascii="Times New Roman" w:eastAsia="標楷體" w:hAnsi="Times New Roman"/>
                <w:kern w:val="0"/>
              </w:rPr>
              <w:t>甲狀腺賀爾蒙的情況下</w:t>
            </w:r>
            <w:r>
              <w:rPr>
                <w:rFonts w:ascii="Times New Roman" w:eastAsia="標楷體" w:hAnsi="Times New Roman" w:hint="eastAsia"/>
                <w:kern w:val="0"/>
              </w:rPr>
              <w:t>以</w:t>
            </w:r>
            <w:r w:rsidRPr="001061DB">
              <w:rPr>
                <w:rFonts w:ascii="Times New Roman" w:eastAsia="標楷體" w:hAnsi="Times New Roman"/>
                <w:kern w:val="0"/>
              </w:rPr>
              <w:t>最低有效劑量進行治療</w:t>
            </w:r>
            <w:r>
              <w:rPr>
                <w:rFonts w:ascii="Times New Roman" w:eastAsia="標楷體" w:hAnsi="Times New Roman" w:hint="eastAsia"/>
              </w:rPr>
              <w:t>，並密切</w:t>
            </w:r>
            <w:r>
              <w:rPr>
                <w:rFonts w:ascii="Times New Roman" w:eastAsia="標楷體" w:hAnsi="Times New Roman"/>
                <w:kern w:val="0"/>
              </w:rPr>
              <w:t>監測母體、胎兒以及新生兒的</w:t>
            </w:r>
            <w:r>
              <w:rPr>
                <w:rFonts w:ascii="Times New Roman" w:eastAsia="標楷體" w:hAnsi="Times New Roman" w:hint="eastAsia"/>
                <w:kern w:val="0"/>
              </w:rPr>
              <w:t>身體狀況</w:t>
            </w:r>
            <w:r w:rsidRPr="001061DB">
              <w:rPr>
                <w:rFonts w:ascii="Times New Roman" w:eastAsia="標楷體" w:hAnsi="Times New Roman"/>
                <w:kern w:val="0"/>
              </w:rPr>
              <w:t>。</w:t>
            </w:r>
          </w:p>
          <w:p w:rsidR="00680062" w:rsidRPr="0069389E" w:rsidRDefault="00680062" w:rsidP="0069389E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應告知具生育能力的婦女含</w:t>
            </w:r>
            <w:proofErr w:type="spellStart"/>
            <w:r w:rsidRPr="001061DB">
              <w:rPr>
                <w:rFonts w:ascii="Times New Roman" w:eastAsia="標楷體" w:hAnsi="Times New Roman"/>
                <w:color w:val="000000" w:themeColor="text1"/>
              </w:rPr>
              <w:t>c</w:t>
            </w:r>
            <w:r w:rsidRPr="001061DB">
              <w:rPr>
                <w:rFonts w:ascii="Times New Roman" w:eastAsia="標楷體" w:hAnsi="Times New Roman"/>
                <w:kern w:val="0"/>
              </w:rPr>
              <w:t>arbimazole</w:t>
            </w:r>
            <w:proofErr w:type="spellEnd"/>
            <w:r w:rsidRPr="001061DB">
              <w:rPr>
                <w:rFonts w:ascii="Times New Roman" w:eastAsia="標楷體" w:hAnsi="Times New Roman"/>
                <w:kern w:val="0"/>
              </w:rPr>
              <w:t>或</w:t>
            </w:r>
            <w:proofErr w:type="spellStart"/>
            <w:r w:rsidRPr="001061DB">
              <w:rPr>
                <w:rFonts w:ascii="Times New Roman" w:eastAsia="標楷體" w:hAnsi="Times New Roman"/>
                <w:kern w:val="0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kern w:val="0"/>
              </w:rPr>
              <w:t>成分藥品可能有致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畸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胎的風險，並提醒病人在藥物治療期間應</w:t>
            </w:r>
            <w:r w:rsidRPr="004D470E">
              <w:rPr>
                <w:rFonts w:ascii="Times New Roman" w:eastAsia="標楷體" w:hAnsi="Times New Roman"/>
                <w:kern w:val="0"/>
              </w:rPr>
              <w:t>採取有效的避孕措施。</w:t>
            </w:r>
          </w:p>
          <w:p w:rsidR="00F717E5" w:rsidRPr="0069389E" w:rsidRDefault="00F717E5" w:rsidP="0069389E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2A0230">
              <w:rPr>
                <w:rFonts w:ascii="Times New Roman" w:eastAsia="標楷體" w:hAnsi="標楷體" w:hint="eastAsia"/>
              </w:rPr>
              <w:t>應提醒病人</w:t>
            </w:r>
            <w:r w:rsidRPr="002A0230">
              <w:rPr>
                <w:rFonts w:ascii="Times New Roman" w:eastAsia="標楷體" w:hAnsi="Times New Roman" w:hint="eastAsia"/>
                <w:szCs w:val="24"/>
              </w:rPr>
              <w:t>服藥後若出現任何不適症狀應</w:t>
            </w:r>
            <w:r w:rsidRPr="002A02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立即回診</w:t>
            </w:r>
            <w:r w:rsidRPr="002A0230">
              <w:rPr>
                <w:rFonts w:ascii="Times New Roman" w:eastAsia="標楷體" w:hAnsi="標楷體" w:hint="eastAsia"/>
              </w:rPr>
              <w:t>。</w:t>
            </w:r>
          </w:p>
          <w:p w:rsidR="00F717E5" w:rsidRPr="00D63CDD" w:rsidRDefault="00F717E5" w:rsidP="008D7A92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E275F4" w:rsidRPr="0069389E" w:rsidRDefault="00F717E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shd w:val="clear" w:color="auto" w:fill="FFFFFF"/>
              </w:rPr>
              <w:t>若您有</w:t>
            </w:r>
            <w:r>
              <w:rPr>
                <w:rFonts w:ascii="Times New Roman" w:eastAsia="標楷體" w:hAnsi="標楷體" w:hint="eastAsia"/>
                <w:color w:val="000000"/>
              </w:rPr>
              <w:t>使用含</w:t>
            </w:r>
            <w:proofErr w:type="spellStart"/>
            <w:r>
              <w:rPr>
                <w:rFonts w:ascii="Times New Roman" w:eastAsia="標楷體" w:hAnsi="Times New Roman"/>
              </w:rPr>
              <w:t>c</w:t>
            </w:r>
            <w:r w:rsidRPr="00005F45">
              <w:rPr>
                <w:rFonts w:ascii="Times New Roman" w:eastAsia="標楷體" w:hAnsi="Times New Roman" w:cs="Times New Roman"/>
              </w:rPr>
              <w:t>arbimazole</w:t>
            </w:r>
            <w:proofErr w:type="spellEnd"/>
            <w:r>
              <w:rPr>
                <w:rFonts w:ascii="Times New Roman" w:eastAsia="標楷體" w:hAnsi="Times New Roman" w:hint="eastAsia"/>
              </w:rPr>
              <w:t>或</w:t>
            </w:r>
            <w:proofErr w:type="spellStart"/>
            <w:r w:rsidRPr="00005F45">
              <w:rPr>
                <w:rFonts w:ascii="Times New Roman" w:eastAsia="標楷體" w:hAnsi="Times New Roman" w:cs="Times New Roman"/>
                <w:shd w:val="clear" w:color="auto" w:fill="FFFFFF"/>
              </w:rPr>
              <w:t>methimazole</w:t>
            </w:r>
            <w:proofErr w:type="spellEnd"/>
            <w:r>
              <w:rPr>
                <w:rFonts w:ascii="Times New Roman" w:eastAsia="標楷體" w:hAnsi="Times New Roman" w:hint="eastAsia"/>
                <w:shd w:val="clear" w:color="auto" w:fill="FFFFFF"/>
              </w:rPr>
              <w:t>成分藥品後發生急性胰臟炎的相關病史，請告知醫療人員。</w:t>
            </w:r>
          </w:p>
          <w:p w:rsidR="008757F3" w:rsidRPr="0069389E" w:rsidRDefault="008757F3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757F3">
              <w:rPr>
                <w:rFonts w:ascii="Times New Roman" w:eastAsia="標楷體" w:hAnsi="Times New Roman"/>
                <w:shd w:val="clear" w:color="auto" w:fill="FFFFFF"/>
              </w:rPr>
              <w:t>若服藥期間出現任何不適症狀，請立即回診。</w:t>
            </w:r>
          </w:p>
          <w:p w:rsidR="008757F3" w:rsidRPr="0069389E" w:rsidRDefault="008757F3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E0342">
              <w:rPr>
                <w:rFonts w:ascii="Times New Roman" w:eastAsia="標楷體" w:hAnsi="Times New Roman" w:cs="Times New Roman"/>
              </w:rPr>
              <w:t>患有甲狀腺機能亢進之懷孕婦女</w:t>
            </w:r>
            <w:r>
              <w:rPr>
                <w:rFonts w:ascii="Times New Roman" w:eastAsia="標楷體" w:hAnsi="Times New Roman" w:cs="Times New Roman"/>
              </w:rPr>
              <w:t>應接受充分</w:t>
            </w:r>
            <w:r w:rsidRPr="00BE0342">
              <w:rPr>
                <w:rFonts w:ascii="Times New Roman" w:eastAsia="標楷體" w:hAnsi="Times New Roman" w:cs="Times New Roman"/>
              </w:rPr>
              <w:t>治療以避免母體或胎兒發生嚴重的併發症。</w:t>
            </w:r>
            <w:r>
              <w:rPr>
                <w:rFonts w:ascii="Times New Roman" w:eastAsia="標楷體" w:hAnsi="Times New Roman" w:cs="Times New Roman" w:hint="eastAsia"/>
              </w:rPr>
              <w:t>懷孕婦女請與醫師詳細討論您的疾病治療方針，且在</w:t>
            </w:r>
            <w:r>
              <w:rPr>
                <w:rFonts w:ascii="Times New Roman" w:eastAsia="標楷體" w:hAnsi="Times New Roman" w:cs="Times New Roman"/>
              </w:rPr>
              <w:t>醫師審慎評估</w:t>
            </w:r>
            <w:r>
              <w:rPr>
                <w:rFonts w:ascii="Times New Roman" w:eastAsia="標楷體" w:hAnsi="Times New Roman" w:cs="Times New Roman" w:hint="eastAsia"/>
              </w:rPr>
              <w:t>藥物治療的</w:t>
            </w:r>
            <w:r w:rsidRPr="00BE0342">
              <w:rPr>
                <w:rFonts w:ascii="Times New Roman" w:eastAsia="標楷體" w:hAnsi="Times New Roman" w:cs="Times New Roman"/>
              </w:rPr>
              <w:t>臨床效益與風險</w:t>
            </w:r>
            <w:r>
              <w:rPr>
                <w:rFonts w:ascii="Times New Roman" w:eastAsia="標楷體" w:hAnsi="Times New Roman" w:cs="Times New Roman" w:hint="eastAsia"/>
              </w:rPr>
              <w:t>後積極接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受治療，並請於</w:t>
            </w:r>
            <w:r w:rsidRPr="00BE0342">
              <w:rPr>
                <w:rFonts w:ascii="Times New Roman" w:eastAsia="標楷體" w:hAnsi="Times New Roman" w:cs="Times New Roman"/>
              </w:rPr>
              <w:t>治療期間密切</w:t>
            </w:r>
            <w:r>
              <w:rPr>
                <w:rFonts w:ascii="Times New Roman" w:eastAsia="標楷體" w:hAnsi="Times New Roman" w:cs="Times New Roman" w:hint="eastAsia"/>
              </w:rPr>
              <w:t>接受</w:t>
            </w:r>
            <w:r w:rsidRPr="00BE0342">
              <w:rPr>
                <w:rFonts w:ascii="Times New Roman" w:eastAsia="標楷體" w:hAnsi="Times New Roman" w:cs="Times New Roman"/>
              </w:rPr>
              <w:t>身體</w:t>
            </w:r>
            <w:r>
              <w:rPr>
                <w:rFonts w:ascii="Times New Roman" w:eastAsia="標楷體" w:hAnsi="Times New Roman" w:cs="Times New Roman"/>
              </w:rPr>
              <w:t>狀況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Pr="00BE0342">
              <w:rPr>
                <w:rFonts w:ascii="Times New Roman" w:eastAsia="標楷體" w:hAnsi="Times New Roman" w:cs="Times New Roman"/>
              </w:rPr>
              <w:t>監測。</w:t>
            </w:r>
          </w:p>
          <w:p w:rsidR="00F717E5" w:rsidRPr="00096022" w:rsidRDefault="008757F3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E0342">
              <w:rPr>
                <w:rFonts w:ascii="Times New Roman" w:eastAsia="標楷體" w:hAnsi="Times New Roman" w:cs="Times New Roman"/>
              </w:rPr>
              <w:t>患有甲狀腺機能亢進之</w:t>
            </w:r>
            <w:r>
              <w:rPr>
                <w:rFonts w:ascii="Times New Roman" w:eastAsia="標楷體" w:hAnsi="Times New Roman" w:hint="eastAsia"/>
              </w:rPr>
              <w:t>育齡婦女</w:t>
            </w:r>
            <w:r w:rsidR="00F717E5" w:rsidRPr="00096022">
              <w:rPr>
                <w:rFonts w:ascii="Times New Roman" w:eastAsia="標楷體" w:hAnsi="Times New Roman" w:cs="Times New Roman"/>
                <w:color w:val="000000"/>
              </w:rPr>
              <w:t>在接受含</w:t>
            </w:r>
            <w:proofErr w:type="spellStart"/>
            <w:r w:rsidR="00F717E5" w:rsidRPr="00096022">
              <w:rPr>
                <w:rFonts w:ascii="Times New Roman" w:eastAsia="標楷體" w:hAnsi="Times New Roman" w:cs="Times New Roman"/>
              </w:rPr>
              <w:t>carbimazole</w:t>
            </w:r>
            <w:proofErr w:type="spellEnd"/>
            <w:r w:rsidR="00F717E5" w:rsidRPr="00096022">
              <w:rPr>
                <w:rFonts w:ascii="Times New Roman" w:eastAsia="標楷體" w:hAnsi="Times New Roman" w:cs="Times New Roman"/>
              </w:rPr>
              <w:t>或</w:t>
            </w:r>
            <w:proofErr w:type="spellStart"/>
            <w:r w:rsidR="00F717E5" w:rsidRPr="00096022">
              <w:rPr>
                <w:rFonts w:ascii="Times New Roman" w:eastAsia="標楷體" w:hAnsi="Times New Roman" w:cs="Times New Roman"/>
                <w:shd w:val="clear" w:color="auto" w:fill="FFFFFF"/>
              </w:rPr>
              <w:t>methimazole</w:t>
            </w:r>
            <w:proofErr w:type="spellEnd"/>
            <w:r w:rsidR="00F717E5" w:rsidRPr="00096022">
              <w:rPr>
                <w:rFonts w:ascii="Times New Roman" w:eastAsia="標楷體" w:hAnsi="Times New Roman" w:cs="Times New Roman"/>
                <w:shd w:val="clear" w:color="auto" w:fill="FFFFFF"/>
              </w:rPr>
              <w:t>成分藥品</w:t>
            </w:r>
            <w:bookmarkStart w:id="0" w:name="_GoBack"/>
            <w:bookmarkEnd w:id="0"/>
            <w:r w:rsidR="00F717E5" w:rsidRPr="00096022">
              <w:rPr>
                <w:rFonts w:ascii="Times New Roman" w:eastAsia="標楷體" w:hAnsi="Times New Roman" w:cs="Times New Roman"/>
              </w:rPr>
              <w:t>治療期間應採取有效的避孕措施。</w:t>
            </w:r>
          </w:p>
          <w:p w:rsidR="00F717E5" w:rsidRPr="008757F3" w:rsidRDefault="00F717E5" w:rsidP="0069389E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757F3">
              <w:rPr>
                <w:rFonts w:ascii="Times New Roman" w:eastAsia="標楷體" w:hAnsi="Times New Roman" w:hint="eastAsia"/>
              </w:rPr>
              <w:t>對用藥有任何疑問請諮詢醫療人員，切勿於諮詢醫療人員前自行停藥。</w:t>
            </w:r>
            <w:r w:rsidRPr="008757F3">
              <w:rPr>
                <w:rFonts w:ascii="Times New Roman" w:eastAsia="標楷體" w:hAnsi="Times New Roman"/>
              </w:rPr>
              <w:t xml:space="preserve"> </w:t>
            </w:r>
          </w:p>
          <w:p w:rsidR="00F717E5" w:rsidRDefault="00F717E5" w:rsidP="00060984">
            <w:pPr>
              <w:pStyle w:val="Web"/>
              <w:numPr>
                <w:ilvl w:val="1"/>
                <w:numId w:val="28"/>
              </w:numPr>
              <w:spacing w:before="0" w:after="0" w:line="400" w:lineRule="exact"/>
              <w:ind w:left="456" w:hanging="456"/>
              <w:rPr>
                <w:rFonts w:ascii="Times New Roman" w:eastAsia="標楷體" w:hAnsi="標楷體"/>
                <w:color w:val="000000"/>
              </w:rPr>
            </w:pPr>
            <w:r w:rsidRPr="00D63CDD">
              <w:rPr>
                <w:rFonts w:ascii="Times New Roman" w:eastAsia="標楷體" w:hAnsi="標楷體" w:cs="Times New Roman" w:hint="eastAsia"/>
              </w:rPr>
              <w:t>醫療人員或病人懷疑因為使用（</w:t>
            </w:r>
            <w:r>
              <w:rPr>
                <w:rFonts w:ascii="Times New Roman" w:eastAsia="標楷體" w:hAnsi="標楷體" w:cs="Times New Roman" w:hint="eastAsia"/>
              </w:rPr>
              <w:t>服</w:t>
            </w:r>
            <w:r w:rsidRPr="00D63CDD">
              <w:rPr>
                <w:rFonts w:ascii="Times New Roman" w:eastAsia="標楷體" w:hAnsi="標楷體" w:cs="Times New Roman" w:hint="eastAsia"/>
              </w:rPr>
              <w:t>用）藥品導致不良反應發生時，請立即通報給衛生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福利部所建置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之全國藥物不良反應通報中心，並副知所屬廠商，藥物不良反應通報專線</w:t>
            </w:r>
            <w:r w:rsidRPr="00D63CDD">
              <w:rPr>
                <w:rFonts w:ascii="Times New Roman" w:eastAsia="標楷體" w:cs="Times New Roman"/>
              </w:rPr>
              <w:t>02-2396-0100</w:t>
            </w:r>
            <w:r w:rsidRPr="00D63CDD">
              <w:rPr>
                <w:rFonts w:ascii="Times New Roman" w:eastAsia="標楷體" w:hAnsi="標楷體" w:cs="Times New Roman" w:hint="eastAsia"/>
              </w:rPr>
              <w:t>，網站：</w:t>
            </w:r>
            <w:hyperlink r:id="rId10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cs="Times New Roman" w:hint="eastAsia"/>
              </w:rPr>
              <w:t>；衛生福利部食品藥物管理署獲知藥品安全訊息時，</w:t>
            </w:r>
            <w:proofErr w:type="gramStart"/>
            <w:r w:rsidRPr="00D63CDD">
              <w:rPr>
                <w:rFonts w:ascii="Times New Roman" w:eastAsia="標楷體" w:hAnsi="標楷體" w:cs="Times New Roman" w:hint="eastAsia"/>
              </w:rPr>
              <w:t>均會蒐集</w:t>
            </w:r>
            <w:proofErr w:type="gramEnd"/>
            <w:r w:rsidRPr="00D63CDD">
              <w:rPr>
                <w:rFonts w:ascii="Times New Roman" w:eastAsia="標楷體" w:hAnsi="標楷體" w:cs="Times New Roman" w:hint="eastAsia"/>
              </w:rPr>
              <w:t>彙整相關資料進行評估，並對於新增之藥品風險採取對應之風險管控措施</w:t>
            </w:r>
            <w:r w:rsidRPr="00D63CDD">
              <w:rPr>
                <w:rFonts w:ascii="Times New Roman" w:eastAsia="標楷體" w:cs="Times New Roman" w:hint="eastAsia"/>
              </w:rPr>
              <w:t>。</w:t>
            </w:r>
          </w:p>
        </w:tc>
      </w:tr>
    </w:tbl>
    <w:p w:rsidR="00F60C9D" w:rsidRDefault="00F60C9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674BF8" w:rsidRDefault="00674BF8">
      <w:pPr>
        <w:widowControl/>
      </w:pPr>
    </w:p>
    <w:p w:rsidR="00674BF8" w:rsidRDefault="00674BF8">
      <w:pPr>
        <w:widowControl/>
      </w:pPr>
    </w:p>
    <w:p w:rsidR="00EF096D" w:rsidRDefault="00EF096D">
      <w:pPr>
        <w:widowControl/>
      </w:pPr>
    </w:p>
    <w:p w:rsidR="00EF096D" w:rsidRDefault="00EF096D">
      <w:pPr>
        <w:widowControl/>
      </w:pPr>
    </w:p>
    <w:p w:rsidR="00ED3FC5" w:rsidRDefault="00ED3FC5">
      <w:pPr>
        <w:widowControl/>
      </w:pPr>
    </w:p>
    <w:p w:rsidR="00ED3FC5" w:rsidRDefault="00ED3FC5">
      <w:pPr>
        <w:widowControl/>
      </w:pPr>
    </w:p>
    <w:p w:rsidR="00ED3FC5" w:rsidRDefault="00ED3FC5">
      <w:pPr>
        <w:widowControl/>
      </w:pPr>
    </w:p>
    <w:p w:rsidR="006C44E4" w:rsidRDefault="006C44E4" w:rsidP="006C44E4">
      <w:pPr>
        <w:widowControl/>
      </w:pPr>
    </w:p>
    <w:sectPr w:rsidR="006C44E4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63" w:rsidRDefault="004E7663" w:rsidP="003B56BC">
      <w:r>
        <w:separator/>
      </w:r>
    </w:p>
  </w:endnote>
  <w:endnote w:type="continuationSeparator" w:id="0">
    <w:p w:rsidR="004E7663" w:rsidRDefault="004E766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63" w:rsidRDefault="004E7663" w:rsidP="003B56BC">
      <w:r>
        <w:separator/>
      </w:r>
    </w:p>
  </w:footnote>
  <w:footnote w:type="continuationSeparator" w:id="0">
    <w:p w:rsidR="004E7663" w:rsidRDefault="004E766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9724CB"/>
    <w:multiLevelType w:val="hybridMultilevel"/>
    <w:tmpl w:val="535442A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D86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E40EE0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8C6E1B"/>
    <w:multiLevelType w:val="hybridMultilevel"/>
    <w:tmpl w:val="B694CB06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>
    <w:nsid w:val="45A57B9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7617E6"/>
    <w:multiLevelType w:val="hybridMultilevel"/>
    <w:tmpl w:val="6A72F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4A105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1161F5"/>
    <w:multiLevelType w:val="hybridMultilevel"/>
    <w:tmpl w:val="896A257C"/>
    <w:lvl w:ilvl="0" w:tplc="F8989F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0"/>
  </w:num>
  <w:num w:numId="5">
    <w:abstractNumId w:val="20"/>
  </w:num>
  <w:num w:numId="6">
    <w:abstractNumId w:val="18"/>
  </w:num>
  <w:num w:numId="7">
    <w:abstractNumId w:val="26"/>
  </w:num>
  <w:num w:numId="8">
    <w:abstractNumId w:val="2"/>
  </w:num>
  <w:num w:numId="9">
    <w:abstractNumId w:val="15"/>
  </w:num>
  <w:num w:numId="10">
    <w:abstractNumId w:val="5"/>
  </w:num>
  <w:num w:numId="11">
    <w:abstractNumId w:val="12"/>
  </w:num>
  <w:num w:numId="12">
    <w:abstractNumId w:val="19"/>
  </w:num>
  <w:num w:numId="13">
    <w:abstractNumId w:val="13"/>
  </w:num>
  <w:num w:numId="14">
    <w:abstractNumId w:val="3"/>
  </w:num>
  <w:num w:numId="15">
    <w:abstractNumId w:val="1"/>
  </w:num>
  <w:num w:numId="16">
    <w:abstractNumId w:val="6"/>
  </w:num>
  <w:num w:numId="17">
    <w:abstractNumId w:val="8"/>
  </w:num>
  <w:num w:numId="18">
    <w:abstractNumId w:val="23"/>
  </w:num>
  <w:num w:numId="19">
    <w:abstractNumId w:val="7"/>
  </w:num>
  <w:num w:numId="20">
    <w:abstractNumId w:val="28"/>
  </w:num>
  <w:num w:numId="21">
    <w:abstractNumId w:val="22"/>
  </w:num>
  <w:num w:numId="22">
    <w:abstractNumId w:val="4"/>
  </w:num>
  <w:num w:numId="23">
    <w:abstractNumId w:val="25"/>
  </w:num>
  <w:num w:numId="24">
    <w:abstractNumId w:val="14"/>
  </w:num>
  <w:num w:numId="25">
    <w:abstractNumId w:val="9"/>
  </w:num>
  <w:num w:numId="26">
    <w:abstractNumId w:val="16"/>
  </w:num>
  <w:num w:numId="27">
    <w:abstractNumId w:val="11"/>
  </w:num>
  <w:num w:numId="28">
    <w:abstractNumId w:val="24"/>
  </w:num>
  <w:num w:numId="29">
    <w:abstractNumId w:val="21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5F45"/>
    <w:rsid w:val="0000743C"/>
    <w:rsid w:val="00011906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1108"/>
    <w:rsid w:val="00024566"/>
    <w:rsid w:val="00025423"/>
    <w:rsid w:val="00032A84"/>
    <w:rsid w:val="00033C23"/>
    <w:rsid w:val="0003449A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0279"/>
    <w:rsid w:val="00052487"/>
    <w:rsid w:val="00053A95"/>
    <w:rsid w:val="000564A7"/>
    <w:rsid w:val="00056F8F"/>
    <w:rsid w:val="00057243"/>
    <w:rsid w:val="00057BAD"/>
    <w:rsid w:val="00060984"/>
    <w:rsid w:val="00060CFC"/>
    <w:rsid w:val="00060E82"/>
    <w:rsid w:val="0006115A"/>
    <w:rsid w:val="00063573"/>
    <w:rsid w:val="0006398A"/>
    <w:rsid w:val="00065F8B"/>
    <w:rsid w:val="000705C6"/>
    <w:rsid w:val="00070D59"/>
    <w:rsid w:val="000710A8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91D64"/>
    <w:rsid w:val="000926E5"/>
    <w:rsid w:val="00093776"/>
    <w:rsid w:val="0009412B"/>
    <w:rsid w:val="00096022"/>
    <w:rsid w:val="00096F70"/>
    <w:rsid w:val="00097636"/>
    <w:rsid w:val="00097928"/>
    <w:rsid w:val="000A04E5"/>
    <w:rsid w:val="000A0803"/>
    <w:rsid w:val="000A1436"/>
    <w:rsid w:val="000A3189"/>
    <w:rsid w:val="000A3E05"/>
    <w:rsid w:val="000A3F20"/>
    <w:rsid w:val="000B0674"/>
    <w:rsid w:val="000B1861"/>
    <w:rsid w:val="000B1B19"/>
    <w:rsid w:val="000B50D5"/>
    <w:rsid w:val="000B5587"/>
    <w:rsid w:val="000B65E8"/>
    <w:rsid w:val="000B7944"/>
    <w:rsid w:val="000C168C"/>
    <w:rsid w:val="000C1BB2"/>
    <w:rsid w:val="000C4EF5"/>
    <w:rsid w:val="000C705F"/>
    <w:rsid w:val="000D0FB2"/>
    <w:rsid w:val="000D2EF9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E1D"/>
    <w:rsid w:val="00101F28"/>
    <w:rsid w:val="001037C9"/>
    <w:rsid w:val="001040E8"/>
    <w:rsid w:val="00104870"/>
    <w:rsid w:val="001049E0"/>
    <w:rsid w:val="00105264"/>
    <w:rsid w:val="001061DB"/>
    <w:rsid w:val="00106445"/>
    <w:rsid w:val="001107F2"/>
    <w:rsid w:val="001126E4"/>
    <w:rsid w:val="001132B4"/>
    <w:rsid w:val="00115A5F"/>
    <w:rsid w:val="001164B5"/>
    <w:rsid w:val="0012261D"/>
    <w:rsid w:val="001226A2"/>
    <w:rsid w:val="0012297E"/>
    <w:rsid w:val="00127269"/>
    <w:rsid w:val="0013033A"/>
    <w:rsid w:val="0013078F"/>
    <w:rsid w:val="00132D97"/>
    <w:rsid w:val="00133461"/>
    <w:rsid w:val="00133BBC"/>
    <w:rsid w:val="001342B8"/>
    <w:rsid w:val="00136184"/>
    <w:rsid w:val="001365D2"/>
    <w:rsid w:val="00137D92"/>
    <w:rsid w:val="001409C3"/>
    <w:rsid w:val="00142B5F"/>
    <w:rsid w:val="00143373"/>
    <w:rsid w:val="001455B6"/>
    <w:rsid w:val="00150360"/>
    <w:rsid w:val="00152E43"/>
    <w:rsid w:val="00153679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168C"/>
    <w:rsid w:val="00172779"/>
    <w:rsid w:val="00173163"/>
    <w:rsid w:val="001769E6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2C38"/>
    <w:rsid w:val="001A3CD6"/>
    <w:rsid w:val="001A5323"/>
    <w:rsid w:val="001B16AB"/>
    <w:rsid w:val="001B1867"/>
    <w:rsid w:val="001B19B5"/>
    <w:rsid w:val="001B2908"/>
    <w:rsid w:val="001B36F2"/>
    <w:rsid w:val="001B4099"/>
    <w:rsid w:val="001B42C3"/>
    <w:rsid w:val="001B7077"/>
    <w:rsid w:val="001B7903"/>
    <w:rsid w:val="001C0186"/>
    <w:rsid w:val="001C0BC6"/>
    <w:rsid w:val="001C5A1B"/>
    <w:rsid w:val="001C673A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E7B89"/>
    <w:rsid w:val="001F2486"/>
    <w:rsid w:val="001F251E"/>
    <w:rsid w:val="001F67CC"/>
    <w:rsid w:val="002003F6"/>
    <w:rsid w:val="00203113"/>
    <w:rsid w:val="002042C2"/>
    <w:rsid w:val="00204995"/>
    <w:rsid w:val="0020506E"/>
    <w:rsid w:val="00206072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2CA"/>
    <w:rsid w:val="00255E33"/>
    <w:rsid w:val="002631E7"/>
    <w:rsid w:val="00263855"/>
    <w:rsid w:val="00263AF5"/>
    <w:rsid w:val="00263F6D"/>
    <w:rsid w:val="002647F8"/>
    <w:rsid w:val="002659C3"/>
    <w:rsid w:val="00265B3B"/>
    <w:rsid w:val="00270A1F"/>
    <w:rsid w:val="0027252E"/>
    <w:rsid w:val="0027402D"/>
    <w:rsid w:val="00276511"/>
    <w:rsid w:val="0027776F"/>
    <w:rsid w:val="002829E2"/>
    <w:rsid w:val="00282AD1"/>
    <w:rsid w:val="00284CCE"/>
    <w:rsid w:val="00284E77"/>
    <w:rsid w:val="002853C3"/>
    <w:rsid w:val="00285934"/>
    <w:rsid w:val="00286089"/>
    <w:rsid w:val="00293CC3"/>
    <w:rsid w:val="00294900"/>
    <w:rsid w:val="00295558"/>
    <w:rsid w:val="002A0230"/>
    <w:rsid w:val="002A2CDB"/>
    <w:rsid w:val="002A3E0E"/>
    <w:rsid w:val="002A42DD"/>
    <w:rsid w:val="002A46FC"/>
    <w:rsid w:val="002B5BC8"/>
    <w:rsid w:val="002C26C1"/>
    <w:rsid w:val="002C413F"/>
    <w:rsid w:val="002C4641"/>
    <w:rsid w:val="002C5626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E7"/>
    <w:rsid w:val="002D60A1"/>
    <w:rsid w:val="002E78CA"/>
    <w:rsid w:val="002E7C86"/>
    <w:rsid w:val="002F036F"/>
    <w:rsid w:val="002F0FCC"/>
    <w:rsid w:val="002F199C"/>
    <w:rsid w:val="002F2727"/>
    <w:rsid w:val="002F340F"/>
    <w:rsid w:val="002F751E"/>
    <w:rsid w:val="0030181F"/>
    <w:rsid w:val="003018D9"/>
    <w:rsid w:val="003025BF"/>
    <w:rsid w:val="003029B5"/>
    <w:rsid w:val="0030700D"/>
    <w:rsid w:val="00315100"/>
    <w:rsid w:val="00315F9C"/>
    <w:rsid w:val="003209F3"/>
    <w:rsid w:val="00321CA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565AD"/>
    <w:rsid w:val="003577D0"/>
    <w:rsid w:val="00357EF8"/>
    <w:rsid w:val="00361463"/>
    <w:rsid w:val="003617DE"/>
    <w:rsid w:val="00362C26"/>
    <w:rsid w:val="00364436"/>
    <w:rsid w:val="00367110"/>
    <w:rsid w:val="003708D0"/>
    <w:rsid w:val="00370EB4"/>
    <w:rsid w:val="00372FA2"/>
    <w:rsid w:val="003735F2"/>
    <w:rsid w:val="00374FE1"/>
    <w:rsid w:val="003750CF"/>
    <w:rsid w:val="003752CB"/>
    <w:rsid w:val="00375B42"/>
    <w:rsid w:val="003773D1"/>
    <w:rsid w:val="00380713"/>
    <w:rsid w:val="00380E14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298"/>
    <w:rsid w:val="003B77BF"/>
    <w:rsid w:val="003B79B7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5B16"/>
    <w:rsid w:val="003D614B"/>
    <w:rsid w:val="003D647C"/>
    <w:rsid w:val="003D6ADC"/>
    <w:rsid w:val="003D7BB4"/>
    <w:rsid w:val="003E057E"/>
    <w:rsid w:val="003E15EC"/>
    <w:rsid w:val="003E5420"/>
    <w:rsid w:val="003F04FB"/>
    <w:rsid w:val="003F0E8C"/>
    <w:rsid w:val="003F0EDA"/>
    <w:rsid w:val="003F254E"/>
    <w:rsid w:val="003F256E"/>
    <w:rsid w:val="003F2759"/>
    <w:rsid w:val="003F2894"/>
    <w:rsid w:val="003F38B4"/>
    <w:rsid w:val="003F4CE2"/>
    <w:rsid w:val="003F627C"/>
    <w:rsid w:val="00400BCB"/>
    <w:rsid w:val="0040182D"/>
    <w:rsid w:val="00401A08"/>
    <w:rsid w:val="0040282A"/>
    <w:rsid w:val="00404BD2"/>
    <w:rsid w:val="00404D0F"/>
    <w:rsid w:val="00410346"/>
    <w:rsid w:val="0041196A"/>
    <w:rsid w:val="00415D5C"/>
    <w:rsid w:val="00416206"/>
    <w:rsid w:val="00416503"/>
    <w:rsid w:val="00417332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477"/>
    <w:rsid w:val="0044760D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4F44"/>
    <w:rsid w:val="004878B9"/>
    <w:rsid w:val="00490DF1"/>
    <w:rsid w:val="00491525"/>
    <w:rsid w:val="00491658"/>
    <w:rsid w:val="00491E5A"/>
    <w:rsid w:val="00491E85"/>
    <w:rsid w:val="00493BFB"/>
    <w:rsid w:val="004942CD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A7B13"/>
    <w:rsid w:val="004B2272"/>
    <w:rsid w:val="004B2616"/>
    <w:rsid w:val="004B354D"/>
    <w:rsid w:val="004B380F"/>
    <w:rsid w:val="004B4EA4"/>
    <w:rsid w:val="004C12EF"/>
    <w:rsid w:val="004C261A"/>
    <w:rsid w:val="004C2905"/>
    <w:rsid w:val="004C50A6"/>
    <w:rsid w:val="004D159F"/>
    <w:rsid w:val="004D29F3"/>
    <w:rsid w:val="004D470E"/>
    <w:rsid w:val="004D4BFC"/>
    <w:rsid w:val="004D56A7"/>
    <w:rsid w:val="004E0196"/>
    <w:rsid w:val="004E136E"/>
    <w:rsid w:val="004E33E0"/>
    <w:rsid w:val="004E50EE"/>
    <w:rsid w:val="004E53FD"/>
    <w:rsid w:val="004E5D24"/>
    <w:rsid w:val="004E7318"/>
    <w:rsid w:val="004E7663"/>
    <w:rsid w:val="004F0C08"/>
    <w:rsid w:val="004F0F9F"/>
    <w:rsid w:val="004F2FA5"/>
    <w:rsid w:val="004F327A"/>
    <w:rsid w:val="004F4667"/>
    <w:rsid w:val="004F5574"/>
    <w:rsid w:val="005044AF"/>
    <w:rsid w:val="00504A7D"/>
    <w:rsid w:val="005062CE"/>
    <w:rsid w:val="00510624"/>
    <w:rsid w:val="00510BB3"/>
    <w:rsid w:val="00513748"/>
    <w:rsid w:val="005138BB"/>
    <w:rsid w:val="0051792B"/>
    <w:rsid w:val="0052098B"/>
    <w:rsid w:val="00520AC1"/>
    <w:rsid w:val="005210AC"/>
    <w:rsid w:val="00522F76"/>
    <w:rsid w:val="00523BBC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46439"/>
    <w:rsid w:val="00546DDB"/>
    <w:rsid w:val="0055146D"/>
    <w:rsid w:val="0055218E"/>
    <w:rsid w:val="00552AE1"/>
    <w:rsid w:val="00552B7C"/>
    <w:rsid w:val="00560637"/>
    <w:rsid w:val="005611EF"/>
    <w:rsid w:val="0056213B"/>
    <w:rsid w:val="00564ABB"/>
    <w:rsid w:val="00564DC2"/>
    <w:rsid w:val="005675AA"/>
    <w:rsid w:val="00567B30"/>
    <w:rsid w:val="00567D2B"/>
    <w:rsid w:val="00567D81"/>
    <w:rsid w:val="00570194"/>
    <w:rsid w:val="0057091D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60B9"/>
    <w:rsid w:val="00586F62"/>
    <w:rsid w:val="00587B3E"/>
    <w:rsid w:val="00587CCB"/>
    <w:rsid w:val="00590BF6"/>
    <w:rsid w:val="00594DDE"/>
    <w:rsid w:val="0059661E"/>
    <w:rsid w:val="005A2907"/>
    <w:rsid w:val="005A2B73"/>
    <w:rsid w:val="005A4C75"/>
    <w:rsid w:val="005A78FB"/>
    <w:rsid w:val="005B0483"/>
    <w:rsid w:val="005B3F6D"/>
    <w:rsid w:val="005B4CC3"/>
    <w:rsid w:val="005B6D74"/>
    <w:rsid w:val="005B7BFB"/>
    <w:rsid w:val="005C009C"/>
    <w:rsid w:val="005C11BE"/>
    <w:rsid w:val="005C1444"/>
    <w:rsid w:val="005D10B5"/>
    <w:rsid w:val="005D32A1"/>
    <w:rsid w:val="005D339D"/>
    <w:rsid w:val="005E13B0"/>
    <w:rsid w:val="005E271F"/>
    <w:rsid w:val="005E3BF1"/>
    <w:rsid w:val="005E4ADF"/>
    <w:rsid w:val="005F1805"/>
    <w:rsid w:val="005F3147"/>
    <w:rsid w:val="005F6D8A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2F54"/>
    <w:rsid w:val="00644664"/>
    <w:rsid w:val="006448FD"/>
    <w:rsid w:val="006457C5"/>
    <w:rsid w:val="00647127"/>
    <w:rsid w:val="00650041"/>
    <w:rsid w:val="006515A2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062"/>
    <w:rsid w:val="00680915"/>
    <w:rsid w:val="00681D41"/>
    <w:rsid w:val="0068261E"/>
    <w:rsid w:val="00682827"/>
    <w:rsid w:val="00684225"/>
    <w:rsid w:val="0069046F"/>
    <w:rsid w:val="0069200B"/>
    <w:rsid w:val="00692E10"/>
    <w:rsid w:val="0069389E"/>
    <w:rsid w:val="006949A3"/>
    <w:rsid w:val="00697722"/>
    <w:rsid w:val="00697C47"/>
    <w:rsid w:val="006A1F54"/>
    <w:rsid w:val="006A26A3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E06D5"/>
    <w:rsid w:val="006E13E7"/>
    <w:rsid w:val="006E3EFC"/>
    <w:rsid w:val="006E4F47"/>
    <w:rsid w:val="006E572E"/>
    <w:rsid w:val="006E5C77"/>
    <w:rsid w:val="006E7EF8"/>
    <w:rsid w:val="006F014D"/>
    <w:rsid w:val="006F0B11"/>
    <w:rsid w:val="006F0E45"/>
    <w:rsid w:val="006F32C2"/>
    <w:rsid w:val="006F3C80"/>
    <w:rsid w:val="006F5502"/>
    <w:rsid w:val="006F5C17"/>
    <w:rsid w:val="006F5E9B"/>
    <w:rsid w:val="006F5F29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27A0"/>
    <w:rsid w:val="00722CB9"/>
    <w:rsid w:val="007234B7"/>
    <w:rsid w:val="00724B56"/>
    <w:rsid w:val="007267E3"/>
    <w:rsid w:val="007334C5"/>
    <w:rsid w:val="00736C4C"/>
    <w:rsid w:val="00740206"/>
    <w:rsid w:val="00740E5B"/>
    <w:rsid w:val="0074276A"/>
    <w:rsid w:val="00744DB3"/>
    <w:rsid w:val="00747215"/>
    <w:rsid w:val="00747CC6"/>
    <w:rsid w:val="007509CB"/>
    <w:rsid w:val="00751B85"/>
    <w:rsid w:val="00752A8B"/>
    <w:rsid w:val="00752CA7"/>
    <w:rsid w:val="00755ECC"/>
    <w:rsid w:val="00757B6F"/>
    <w:rsid w:val="0076068F"/>
    <w:rsid w:val="007613D5"/>
    <w:rsid w:val="00761D46"/>
    <w:rsid w:val="00762580"/>
    <w:rsid w:val="00762E79"/>
    <w:rsid w:val="007636C8"/>
    <w:rsid w:val="00765768"/>
    <w:rsid w:val="007658CA"/>
    <w:rsid w:val="00765C6B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496"/>
    <w:rsid w:val="0077765F"/>
    <w:rsid w:val="00777CBB"/>
    <w:rsid w:val="007807F7"/>
    <w:rsid w:val="007816A9"/>
    <w:rsid w:val="00781F4F"/>
    <w:rsid w:val="007831D8"/>
    <w:rsid w:val="00785F75"/>
    <w:rsid w:val="007901E5"/>
    <w:rsid w:val="00790EA3"/>
    <w:rsid w:val="007936F9"/>
    <w:rsid w:val="00793982"/>
    <w:rsid w:val="0079539A"/>
    <w:rsid w:val="00795AFD"/>
    <w:rsid w:val="00795BF3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65C1"/>
    <w:rsid w:val="007B7240"/>
    <w:rsid w:val="007B76BA"/>
    <w:rsid w:val="007B76D4"/>
    <w:rsid w:val="007B79BB"/>
    <w:rsid w:val="007C0718"/>
    <w:rsid w:val="007C1262"/>
    <w:rsid w:val="007C40DF"/>
    <w:rsid w:val="007C609E"/>
    <w:rsid w:val="007D0969"/>
    <w:rsid w:val="007D1DF8"/>
    <w:rsid w:val="007D2584"/>
    <w:rsid w:val="007D39F0"/>
    <w:rsid w:val="007D48EB"/>
    <w:rsid w:val="007D7314"/>
    <w:rsid w:val="007E16FC"/>
    <w:rsid w:val="007E1AF0"/>
    <w:rsid w:val="007E367A"/>
    <w:rsid w:val="007E40EA"/>
    <w:rsid w:val="007E4A77"/>
    <w:rsid w:val="007E4F27"/>
    <w:rsid w:val="007E6B19"/>
    <w:rsid w:val="007E7041"/>
    <w:rsid w:val="007E7082"/>
    <w:rsid w:val="007F18FF"/>
    <w:rsid w:val="007F2D30"/>
    <w:rsid w:val="007F5278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20613"/>
    <w:rsid w:val="0082100C"/>
    <w:rsid w:val="00821982"/>
    <w:rsid w:val="00822B7C"/>
    <w:rsid w:val="0082509E"/>
    <w:rsid w:val="00827416"/>
    <w:rsid w:val="008279C2"/>
    <w:rsid w:val="00834706"/>
    <w:rsid w:val="00834E15"/>
    <w:rsid w:val="00837222"/>
    <w:rsid w:val="00837B60"/>
    <w:rsid w:val="0084288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2804"/>
    <w:rsid w:val="008633BA"/>
    <w:rsid w:val="00864D71"/>
    <w:rsid w:val="00867BF5"/>
    <w:rsid w:val="008708F2"/>
    <w:rsid w:val="00871C9F"/>
    <w:rsid w:val="00871F4A"/>
    <w:rsid w:val="0087250C"/>
    <w:rsid w:val="008726B0"/>
    <w:rsid w:val="008735C3"/>
    <w:rsid w:val="0087362D"/>
    <w:rsid w:val="008757F3"/>
    <w:rsid w:val="00875911"/>
    <w:rsid w:val="0088024A"/>
    <w:rsid w:val="00880719"/>
    <w:rsid w:val="0088292E"/>
    <w:rsid w:val="008829A0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E0A"/>
    <w:rsid w:val="00897E41"/>
    <w:rsid w:val="008A4684"/>
    <w:rsid w:val="008A61CC"/>
    <w:rsid w:val="008A73DA"/>
    <w:rsid w:val="008B03BD"/>
    <w:rsid w:val="008B23E1"/>
    <w:rsid w:val="008B2A90"/>
    <w:rsid w:val="008B7AD4"/>
    <w:rsid w:val="008B7CB9"/>
    <w:rsid w:val="008C26F3"/>
    <w:rsid w:val="008C33DC"/>
    <w:rsid w:val="008C3EFD"/>
    <w:rsid w:val="008C40EB"/>
    <w:rsid w:val="008D085F"/>
    <w:rsid w:val="008D3116"/>
    <w:rsid w:val="008D3291"/>
    <w:rsid w:val="008D390A"/>
    <w:rsid w:val="008D56DF"/>
    <w:rsid w:val="008D7A92"/>
    <w:rsid w:val="008E018E"/>
    <w:rsid w:val="008E4B76"/>
    <w:rsid w:val="008E65A4"/>
    <w:rsid w:val="008E6E20"/>
    <w:rsid w:val="008E701E"/>
    <w:rsid w:val="008E7BAD"/>
    <w:rsid w:val="008F100C"/>
    <w:rsid w:val="008F1570"/>
    <w:rsid w:val="008F2903"/>
    <w:rsid w:val="008F2BE0"/>
    <w:rsid w:val="008F35C2"/>
    <w:rsid w:val="008F4B47"/>
    <w:rsid w:val="008F52D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3500"/>
    <w:rsid w:val="00913E22"/>
    <w:rsid w:val="009140D6"/>
    <w:rsid w:val="0091538F"/>
    <w:rsid w:val="00915E26"/>
    <w:rsid w:val="00923E6F"/>
    <w:rsid w:val="00931790"/>
    <w:rsid w:val="0093272F"/>
    <w:rsid w:val="00932D40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C09"/>
    <w:rsid w:val="00961196"/>
    <w:rsid w:val="00961207"/>
    <w:rsid w:val="00963793"/>
    <w:rsid w:val="00964DAD"/>
    <w:rsid w:val="00964E1C"/>
    <w:rsid w:val="00966379"/>
    <w:rsid w:val="009667C2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A86"/>
    <w:rsid w:val="00981E40"/>
    <w:rsid w:val="00983D0B"/>
    <w:rsid w:val="0098445D"/>
    <w:rsid w:val="00987078"/>
    <w:rsid w:val="009879B8"/>
    <w:rsid w:val="00987BBF"/>
    <w:rsid w:val="0099026C"/>
    <w:rsid w:val="00990602"/>
    <w:rsid w:val="00990C3B"/>
    <w:rsid w:val="00993076"/>
    <w:rsid w:val="009945E2"/>
    <w:rsid w:val="00995AE1"/>
    <w:rsid w:val="00996A79"/>
    <w:rsid w:val="0099763C"/>
    <w:rsid w:val="009A1C5A"/>
    <w:rsid w:val="009A217A"/>
    <w:rsid w:val="009A332B"/>
    <w:rsid w:val="009A38BB"/>
    <w:rsid w:val="009A4704"/>
    <w:rsid w:val="009A7741"/>
    <w:rsid w:val="009A7D7D"/>
    <w:rsid w:val="009B4394"/>
    <w:rsid w:val="009B492B"/>
    <w:rsid w:val="009B4DCE"/>
    <w:rsid w:val="009B5288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19B"/>
    <w:rsid w:val="009D2FAB"/>
    <w:rsid w:val="009D3ED5"/>
    <w:rsid w:val="009D44FC"/>
    <w:rsid w:val="009D556C"/>
    <w:rsid w:val="009D5DBF"/>
    <w:rsid w:val="009D65ED"/>
    <w:rsid w:val="009D6A9A"/>
    <w:rsid w:val="009D7237"/>
    <w:rsid w:val="009D7A9D"/>
    <w:rsid w:val="009E0F4B"/>
    <w:rsid w:val="009E6F42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30C4F"/>
    <w:rsid w:val="00A3153C"/>
    <w:rsid w:val="00A33080"/>
    <w:rsid w:val="00A41EDC"/>
    <w:rsid w:val="00A43DE1"/>
    <w:rsid w:val="00A440D2"/>
    <w:rsid w:val="00A44E5B"/>
    <w:rsid w:val="00A45087"/>
    <w:rsid w:val="00A471CE"/>
    <w:rsid w:val="00A503AB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71152"/>
    <w:rsid w:val="00A7122D"/>
    <w:rsid w:val="00A7475C"/>
    <w:rsid w:val="00A74E52"/>
    <w:rsid w:val="00A74E6D"/>
    <w:rsid w:val="00A81EDF"/>
    <w:rsid w:val="00A833AD"/>
    <w:rsid w:val="00A84D58"/>
    <w:rsid w:val="00A854A8"/>
    <w:rsid w:val="00A8686A"/>
    <w:rsid w:val="00A879AB"/>
    <w:rsid w:val="00A9259E"/>
    <w:rsid w:val="00A9272F"/>
    <w:rsid w:val="00A93BF1"/>
    <w:rsid w:val="00A93E59"/>
    <w:rsid w:val="00A93F09"/>
    <w:rsid w:val="00A94422"/>
    <w:rsid w:val="00A948FB"/>
    <w:rsid w:val="00AA5537"/>
    <w:rsid w:val="00AA59E4"/>
    <w:rsid w:val="00AA5BC6"/>
    <w:rsid w:val="00AA6D8E"/>
    <w:rsid w:val="00AB1B07"/>
    <w:rsid w:val="00AB32BE"/>
    <w:rsid w:val="00AB378A"/>
    <w:rsid w:val="00AB4943"/>
    <w:rsid w:val="00AB60C5"/>
    <w:rsid w:val="00AC30E6"/>
    <w:rsid w:val="00AC679D"/>
    <w:rsid w:val="00AC6CDC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4353"/>
    <w:rsid w:val="00B04F6F"/>
    <w:rsid w:val="00B12E12"/>
    <w:rsid w:val="00B13FB1"/>
    <w:rsid w:val="00B14010"/>
    <w:rsid w:val="00B14971"/>
    <w:rsid w:val="00B15496"/>
    <w:rsid w:val="00B17BC9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5DE"/>
    <w:rsid w:val="00B534DE"/>
    <w:rsid w:val="00B57287"/>
    <w:rsid w:val="00B57AEE"/>
    <w:rsid w:val="00B63288"/>
    <w:rsid w:val="00B6341A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7F45"/>
    <w:rsid w:val="00BB1930"/>
    <w:rsid w:val="00BB2614"/>
    <w:rsid w:val="00BB3B2E"/>
    <w:rsid w:val="00BB408C"/>
    <w:rsid w:val="00BB77E5"/>
    <w:rsid w:val="00BC4CFC"/>
    <w:rsid w:val="00BC6314"/>
    <w:rsid w:val="00BD1463"/>
    <w:rsid w:val="00BD4C75"/>
    <w:rsid w:val="00BD7E55"/>
    <w:rsid w:val="00BD7E8C"/>
    <w:rsid w:val="00BD7FA1"/>
    <w:rsid w:val="00BE0342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723"/>
    <w:rsid w:val="00C12BD4"/>
    <w:rsid w:val="00C134BF"/>
    <w:rsid w:val="00C13C72"/>
    <w:rsid w:val="00C1455D"/>
    <w:rsid w:val="00C14A57"/>
    <w:rsid w:val="00C14BC0"/>
    <w:rsid w:val="00C15BDF"/>
    <w:rsid w:val="00C20653"/>
    <w:rsid w:val="00C27E29"/>
    <w:rsid w:val="00C32212"/>
    <w:rsid w:val="00C3461A"/>
    <w:rsid w:val="00C364C2"/>
    <w:rsid w:val="00C3721E"/>
    <w:rsid w:val="00C41E8A"/>
    <w:rsid w:val="00C43A18"/>
    <w:rsid w:val="00C46FE1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4D58"/>
    <w:rsid w:val="00C751D6"/>
    <w:rsid w:val="00C7724A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79D6"/>
    <w:rsid w:val="00CD7B7C"/>
    <w:rsid w:val="00CE285E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2154C"/>
    <w:rsid w:val="00D23C54"/>
    <w:rsid w:val="00D24CEF"/>
    <w:rsid w:val="00D2746F"/>
    <w:rsid w:val="00D311D3"/>
    <w:rsid w:val="00D31502"/>
    <w:rsid w:val="00D31559"/>
    <w:rsid w:val="00D35100"/>
    <w:rsid w:val="00D43B6E"/>
    <w:rsid w:val="00D43B77"/>
    <w:rsid w:val="00D43E77"/>
    <w:rsid w:val="00D4536A"/>
    <w:rsid w:val="00D47A6A"/>
    <w:rsid w:val="00D47D26"/>
    <w:rsid w:val="00D53238"/>
    <w:rsid w:val="00D5542C"/>
    <w:rsid w:val="00D55E01"/>
    <w:rsid w:val="00D615AE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A356D"/>
    <w:rsid w:val="00DA3574"/>
    <w:rsid w:val="00DB0099"/>
    <w:rsid w:val="00DB02C6"/>
    <w:rsid w:val="00DB21CF"/>
    <w:rsid w:val="00DB2984"/>
    <w:rsid w:val="00DB3E96"/>
    <w:rsid w:val="00DB4112"/>
    <w:rsid w:val="00DB5C67"/>
    <w:rsid w:val="00DB6C6E"/>
    <w:rsid w:val="00DC0F1D"/>
    <w:rsid w:val="00DC2730"/>
    <w:rsid w:val="00DC2F9A"/>
    <w:rsid w:val="00DC3FF3"/>
    <w:rsid w:val="00DC4039"/>
    <w:rsid w:val="00DD0BF4"/>
    <w:rsid w:val="00DD751C"/>
    <w:rsid w:val="00DE4373"/>
    <w:rsid w:val="00DE475F"/>
    <w:rsid w:val="00DE62E8"/>
    <w:rsid w:val="00DE7D3C"/>
    <w:rsid w:val="00DF0B2E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155EB"/>
    <w:rsid w:val="00E16046"/>
    <w:rsid w:val="00E179F1"/>
    <w:rsid w:val="00E20C36"/>
    <w:rsid w:val="00E21A89"/>
    <w:rsid w:val="00E22FBF"/>
    <w:rsid w:val="00E275F4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71B8"/>
    <w:rsid w:val="00E50C0F"/>
    <w:rsid w:val="00E53CAC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1276"/>
    <w:rsid w:val="00E81763"/>
    <w:rsid w:val="00E837EA"/>
    <w:rsid w:val="00E83C1D"/>
    <w:rsid w:val="00E84B12"/>
    <w:rsid w:val="00E855E2"/>
    <w:rsid w:val="00E865B9"/>
    <w:rsid w:val="00E9119A"/>
    <w:rsid w:val="00E9137B"/>
    <w:rsid w:val="00E91D56"/>
    <w:rsid w:val="00E9757D"/>
    <w:rsid w:val="00E9760C"/>
    <w:rsid w:val="00EA06DF"/>
    <w:rsid w:val="00EA2C6F"/>
    <w:rsid w:val="00EA3562"/>
    <w:rsid w:val="00EA39AB"/>
    <w:rsid w:val="00EA511E"/>
    <w:rsid w:val="00EB0A72"/>
    <w:rsid w:val="00EB5F18"/>
    <w:rsid w:val="00EB6530"/>
    <w:rsid w:val="00EB790B"/>
    <w:rsid w:val="00EC3F65"/>
    <w:rsid w:val="00EC4013"/>
    <w:rsid w:val="00EC64D2"/>
    <w:rsid w:val="00ED1EEF"/>
    <w:rsid w:val="00ED2574"/>
    <w:rsid w:val="00ED2F93"/>
    <w:rsid w:val="00ED391B"/>
    <w:rsid w:val="00ED3993"/>
    <w:rsid w:val="00ED3FC5"/>
    <w:rsid w:val="00ED412A"/>
    <w:rsid w:val="00ED4A48"/>
    <w:rsid w:val="00ED6CFF"/>
    <w:rsid w:val="00EE2645"/>
    <w:rsid w:val="00EE3254"/>
    <w:rsid w:val="00EE3CB2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CC7"/>
    <w:rsid w:val="00F02F8D"/>
    <w:rsid w:val="00F06355"/>
    <w:rsid w:val="00F12DD3"/>
    <w:rsid w:val="00F14354"/>
    <w:rsid w:val="00F144B6"/>
    <w:rsid w:val="00F14A31"/>
    <w:rsid w:val="00F14C7B"/>
    <w:rsid w:val="00F15B9F"/>
    <w:rsid w:val="00F200AF"/>
    <w:rsid w:val="00F20BAD"/>
    <w:rsid w:val="00F21086"/>
    <w:rsid w:val="00F2152A"/>
    <w:rsid w:val="00F23FC2"/>
    <w:rsid w:val="00F24E6E"/>
    <w:rsid w:val="00F27E29"/>
    <w:rsid w:val="00F301BF"/>
    <w:rsid w:val="00F3184D"/>
    <w:rsid w:val="00F31B27"/>
    <w:rsid w:val="00F336C1"/>
    <w:rsid w:val="00F345AE"/>
    <w:rsid w:val="00F34FBD"/>
    <w:rsid w:val="00F36143"/>
    <w:rsid w:val="00F3622B"/>
    <w:rsid w:val="00F3659B"/>
    <w:rsid w:val="00F37403"/>
    <w:rsid w:val="00F37872"/>
    <w:rsid w:val="00F37BE9"/>
    <w:rsid w:val="00F41F99"/>
    <w:rsid w:val="00F4295A"/>
    <w:rsid w:val="00F436E5"/>
    <w:rsid w:val="00F4397F"/>
    <w:rsid w:val="00F450F0"/>
    <w:rsid w:val="00F4696D"/>
    <w:rsid w:val="00F46CF7"/>
    <w:rsid w:val="00F47FB3"/>
    <w:rsid w:val="00F5040F"/>
    <w:rsid w:val="00F52FA0"/>
    <w:rsid w:val="00F5329E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91"/>
    <w:rsid w:val="00F668C4"/>
    <w:rsid w:val="00F710A5"/>
    <w:rsid w:val="00F717E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DA7"/>
    <w:rsid w:val="00F87E0D"/>
    <w:rsid w:val="00F903D6"/>
    <w:rsid w:val="00F90FFA"/>
    <w:rsid w:val="00F91FED"/>
    <w:rsid w:val="00F9308F"/>
    <w:rsid w:val="00F93A01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D5B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6823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2631E7"/>
    <w:rPr>
      <w:rFonts w:ascii="Times New Roman" w:eastAsia="標楷體" w:hAnsi="Times New Roman"/>
      <w:color w:val="000000" w:themeColor="text1"/>
      <w:szCs w:val="24"/>
    </w:rPr>
  </w:style>
  <w:style w:type="character" w:customStyle="1" w:styleId="af2">
    <w:name w:val="問候 字元"/>
    <w:basedOn w:val="a0"/>
    <w:link w:val="af1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31E7"/>
    <w:pPr>
      <w:ind w:leftChars="1800" w:left="100"/>
    </w:pPr>
    <w:rPr>
      <w:rFonts w:ascii="Times New Roman" w:eastAsia="標楷體" w:hAnsi="Times New Roman"/>
      <w:color w:val="000000" w:themeColor="text1"/>
      <w:szCs w:val="24"/>
    </w:rPr>
  </w:style>
  <w:style w:type="character" w:customStyle="1" w:styleId="af4">
    <w:name w:val="結語 字元"/>
    <w:basedOn w:val="a0"/>
    <w:link w:val="af3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2631E7"/>
    <w:rPr>
      <w:rFonts w:ascii="Times New Roman" w:eastAsia="標楷體" w:hAnsi="Times New Roman"/>
      <w:color w:val="000000" w:themeColor="text1"/>
      <w:szCs w:val="24"/>
    </w:rPr>
  </w:style>
  <w:style w:type="character" w:customStyle="1" w:styleId="af2">
    <w:name w:val="問候 字元"/>
    <w:basedOn w:val="a0"/>
    <w:link w:val="af1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31E7"/>
    <w:pPr>
      <w:ind w:leftChars="1800" w:left="100"/>
    </w:pPr>
    <w:rPr>
      <w:rFonts w:ascii="Times New Roman" w:eastAsia="標楷體" w:hAnsi="Times New Roman"/>
      <w:color w:val="000000" w:themeColor="text1"/>
      <w:szCs w:val="24"/>
    </w:rPr>
  </w:style>
  <w:style w:type="character" w:customStyle="1" w:styleId="af4">
    <w:name w:val="結語 字元"/>
    <w:basedOn w:val="a0"/>
    <w:link w:val="af3"/>
    <w:uiPriority w:val="99"/>
    <w:rsid w:val="002631E7"/>
    <w:rPr>
      <w:rFonts w:ascii="Times New Roman" w:eastAsia="標楷體" w:hAnsi="Times New Roman"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dr.fda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310A-93CB-4BFD-9149-2E1DCAC7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0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2019-05-07T03:45:00Z</cp:lastPrinted>
  <dcterms:created xsi:type="dcterms:W3CDTF">2019-05-08T02:37:00Z</dcterms:created>
  <dcterms:modified xsi:type="dcterms:W3CDTF">2019-05-08T02:37:00Z</dcterms:modified>
</cp:coreProperties>
</file>